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1F" w:rsidRPr="00E91B1F" w:rsidRDefault="00E91B1F" w:rsidP="00E91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1F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муниципального нормативного правового акта</w:t>
      </w:r>
    </w:p>
    <w:p w:rsidR="00E91B1F" w:rsidRPr="00E91B1F" w:rsidRDefault="00E91B1F" w:rsidP="00E91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B1F" w:rsidRPr="009B0BE5" w:rsidRDefault="00E91B1F" w:rsidP="00E91B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</w:p>
    <w:p w:rsidR="00E91B1F" w:rsidRPr="00195134" w:rsidRDefault="00E91B1F" w:rsidP="00B4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B1F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683C37">
        <w:rPr>
          <w:rFonts w:ascii="Times New Roman" w:hAnsi="Times New Roman" w:cs="Times New Roman"/>
          <w:sz w:val="24"/>
          <w:szCs w:val="24"/>
        </w:rPr>
        <w:t xml:space="preserve">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4C6A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B44C6A" w:rsidRPr="00195134">
        <w:rPr>
          <w:rFonts w:ascii="Times New Roman" w:hAnsi="Times New Roman" w:cs="Times New Roman"/>
          <w:sz w:val="24"/>
          <w:szCs w:val="24"/>
        </w:rPr>
        <w:t>образования администрации Кировского муниципального района Ленинградской области.</w:t>
      </w:r>
    </w:p>
    <w:p w:rsidR="00B44C6A" w:rsidRPr="00195134" w:rsidRDefault="00E91B1F" w:rsidP="00B44C6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 w:rsidR="00B44C6A" w:rsidRPr="00195134">
        <w:rPr>
          <w:rFonts w:ascii="Times New Roman" w:hAnsi="Times New Roman" w:cs="Times New Roman"/>
          <w:sz w:val="24"/>
          <w:szCs w:val="24"/>
        </w:rPr>
        <w:t>постановление администрации Кировского муниципального района Ленинградской области «</w:t>
      </w:r>
      <w:r w:rsidR="00B44C6A" w:rsidRPr="0019513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</w:t>
      </w:r>
      <w:r w:rsidR="00B44C6A" w:rsidRPr="00195134">
        <w:rPr>
          <w:rFonts w:ascii="Times New Roman" w:hAnsi="Times New Roman" w:cs="Times New Roman"/>
          <w:bCs/>
          <w:sz w:val="24"/>
          <w:szCs w:val="24"/>
        </w:rPr>
        <w:t>предоставления грантов в форме субсидии негосударственным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Кировского муниципального района Ленинградской области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финансирования».</w:t>
      </w:r>
    </w:p>
    <w:p w:rsidR="00B44C6A" w:rsidRPr="00195134" w:rsidRDefault="003506A7" w:rsidP="00B4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1.3. Основаниедля разработки проекта муниципального нормативного правового акта:</w:t>
      </w:r>
      <w:r w:rsidR="00B44C6A" w:rsidRPr="00195134">
        <w:rPr>
          <w:rFonts w:ascii="Times New Roman" w:hAnsi="Times New Roman" w:cs="Times New Roman"/>
          <w:sz w:val="24"/>
          <w:szCs w:val="24"/>
        </w:rPr>
        <w:t>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№10, руководствуясь статьями 78 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506A7" w:rsidRPr="00195134" w:rsidRDefault="003506A7" w:rsidP="00B44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1.4. Предполагаемая дата вступления в силу муниципального нормативного правового акта:</w:t>
      </w:r>
      <w:r w:rsidR="00430ACD" w:rsidRPr="00195134">
        <w:rPr>
          <w:rFonts w:ascii="Times New Roman" w:hAnsi="Times New Roman" w:cs="Times New Roman"/>
          <w:sz w:val="24"/>
          <w:szCs w:val="24"/>
        </w:rPr>
        <w:t>после официального</w:t>
      </w:r>
      <w:r w:rsidR="00B44C6A" w:rsidRPr="00195134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560E59" w:rsidRPr="00195134" w:rsidRDefault="003506A7" w:rsidP="003D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</w:t>
      </w:r>
      <w:r w:rsidR="00E91B1F" w:rsidRPr="00195134">
        <w:rPr>
          <w:rFonts w:ascii="Times New Roman" w:hAnsi="Times New Roman" w:cs="Times New Roman"/>
          <w:sz w:val="24"/>
          <w:szCs w:val="24"/>
        </w:rPr>
        <w:t>.</w:t>
      </w:r>
      <w:r w:rsidRPr="00195134">
        <w:rPr>
          <w:rFonts w:ascii="Times New Roman" w:hAnsi="Times New Roman" w:cs="Times New Roman"/>
          <w:sz w:val="24"/>
          <w:szCs w:val="24"/>
        </w:rPr>
        <w:t>5</w:t>
      </w:r>
      <w:r w:rsidR="00E91B1F" w:rsidRPr="00195134">
        <w:rPr>
          <w:rFonts w:ascii="Times New Roman" w:hAnsi="Times New Roman" w:cs="Times New Roman"/>
          <w:sz w:val="24"/>
          <w:szCs w:val="24"/>
        </w:rPr>
        <w:t>. Краткое описание</w:t>
      </w:r>
      <w:r w:rsidRPr="00195134">
        <w:rPr>
          <w:rFonts w:ascii="Times New Roman" w:hAnsi="Times New Roman" w:cs="Times New Roman"/>
          <w:sz w:val="24"/>
          <w:szCs w:val="24"/>
        </w:rPr>
        <w:t xml:space="preserve"> проблемы, на решение которой направлено предлагаемое правовое регулирование:</w:t>
      </w:r>
      <w:r w:rsidR="003D5EE7" w:rsidRPr="00195134">
        <w:rPr>
          <w:rFonts w:ascii="Times New Roman" w:hAnsi="Times New Roman" w:cs="Times New Roman"/>
          <w:sz w:val="24"/>
          <w:szCs w:val="24"/>
        </w:rPr>
        <w:t xml:space="preserve">взаимодействие бюджетных организаций </w:t>
      </w:r>
      <w:r w:rsidR="00AA485D" w:rsidRPr="00195134">
        <w:rPr>
          <w:rFonts w:ascii="Times New Roman" w:hAnsi="Times New Roman" w:cs="Times New Roman"/>
          <w:sz w:val="24"/>
          <w:szCs w:val="24"/>
        </w:rPr>
        <w:t xml:space="preserve">с юридическими лицами и индивидуальными предпринимателями </w:t>
      </w:r>
      <w:r w:rsidR="003D5EE7" w:rsidRPr="00195134">
        <w:rPr>
          <w:rFonts w:ascii="Times New Roman" w:hAnsi="Times New Roman" w:cs="Times New Roman"/>
          <w:sz w:val="24"/>
          <w:szCs w:val="24"/>
        </w:rPr>
        <w:t>(ИП, НКО и др.) по вопросам получения грантов в форме субсидий в рамках персонифицированного финансирования дополнительного образования детей Кировского муниципального района Ленинградской области.</w:t>
      </w:r>
    </w:p>
    <w:p w:rsidR="003506A7" w:rsidRPr="00195134" w:rsidRDefault="00E91B1F" w:rsidP="003D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1.</w:t>
      </w:r>
      <w:r w:rsidR="003506A7" w:rsidRPr="00195134">
        <w:rPr>
          <w:rFonts w:ascii="Times New Roman" w:hAnsi="Times New Roman" w:cs="Times New Roman"/>
          <w:sz w:val="24"/>
          <w:szCs w:val="24"/>
        </w:rPr>
        <w:t>6</w:t>
      </w:r>
      <w:r w:rsidRPr="00195134">
        <w:rPr>
          <w:rFonts w:ascii="Times New Roman" w:hAnsi="Times New Roman" w:cs="Times New Roman"/>
          <w:sz w:val="24"/>
          <w:szCs w:val="24"/>
        </w:rPr>
        <w:t xml:space="preserve">. </w:t>
      </w:r>
      <w:r w:rsidR="003506A7" w:rsidRPr="00195134">
        <w:rPr>
          <w:rFonts w:ascii="Times New Roman" w:hAnsi="Times New Roman" w:cs="Times New Roman"/>
          <w:sz w:val="24"/>
          <w:szCs w:val="24"/>
        </w:rPr>
        <w:t>Краткое описание целей предлагаемого правового регулирования</w:t>
      </w:r>
      <w:r w:rsidRPr="00195134">
        <w:rPr>
          <w:rFonts w:ascii="Times New Roman" w:hAnsi="Times New Roman" w:cs="Times New Roman"/>
          <w:sz w:val="24"/>
          <w:szCs w:val="24"/>
        </w:rPr>
        <w:t>:</w:t>
      </w:r>
      <w:r w:rsidR="003D5EE7" w:rsidRPr="00195134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AA485D" w:rsidRPr="00195134">
        <w:rPr>
          <w:rFonts w:ascii="Times New Roman" w:hAnsi="Times New Roman" w:cs="Times New Roman"/>
          <w:sz w:val="24"/>
          <w:szCs w:val="24"/>
        </w:rPr>
        <w:t xml:space="preserve">юридическими лицами и индивидуальными предпринимателями </w:t>
      </w:r>
      <w:r w:rsidR="003D5EE7" w:rsidRPr="00195134">
        <w:rPr>
          <w:rFonts w:ascii="Times New Roman" w:hAnsi="Times New Roman" w:cs="Times New Roman"/>
          <w:sz w:val="24"/>
          <w:szCs w:val="24"/>
        </w:rPr>
        <w:t>(ИП, НКО и др.) грантов в форме субсидий в рамках персонифицированного финансирования дополнительного образования детей Кировского муниципального района Ленинградской области.</w:t>
      </w:r>
    </w:p>
    <w:p w:rsidR="003506A7" w:rsidRPr="00195134" w:rsidRDefault="003506A7" w:rsidP="003D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 xml:space="preserve">1.7. Краткое описание содержания предлагаемого правового регулирования: </w:t>
      </w:r>
      <w:r w:rsidR="003D5EE7" w:rsidRPr="00195134">
        <w:rPr>
          <w:rFonts w:ascii="Times New Roman" w:hAnsi="Times New Roman" w:cs="Times New Roman"/>
          <w:sz w:val="24"/>
          <w:szCs w:val="24"/>
        </w:rPr>
        <w:t xml:space="preserve">взаимодействие бюджетных организаций </w:t>
      </w:r>
      <w:r w:rsidR="00AA485D" w:rsidRPr="00195134">
        <w:rPr>
          <w:rFonts w:ascii="Times New Roman" w:hAnsi="Times New Roman" w:cs="Times New Roman"/>
          <w:sz w:val="24"/>
          <w:szCs w:val="24"/>
        </w:rPr>
        <w:t xml:space="preserve">с юридическими лицами и индивидуальными предпринимателями </w:t>
      </w:r>
      <w:r w:rsidR="003D5EE7" w:rsidRPr="00195134">
        <w:rPr>
          <w:rFonts w:ascii="Times New Roman" w:hAnsi="Times New Roman" w:cs="Times New Roman"/>
          <w:sz w:val="24"/>
          <w:szCs w:val="24"/>
        </w:rPr>
        <w:t>(ИП, НКО и др.) по вопросам получения грантов в форме субсидий в рамках персонифицированного финансирования дополнительного образования детей Кировского муниципального района Ленинградской области.</w:t>
      </w:r>
    </w:p>
    <w:p w:rsidR="003506A7" w:rsidRPr="00195134" w:rsidRDefault="003506A7" w:rsidP="00063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1.8. Степень регулирующего воздействия муниципального нормативного правового акта:</w:t>
      </w:r>
    </w:p>
    <w:tbl>
      <w:tblPr>
        <w:tblStyle w:val="a4"/>
        <w:tblW w:w="0" w:type="auto"/>
        <w:tblLook w:val="04A0"/>
      </w:tblPr>
      <w:tblGrid>
        <w:gridCol w:w="4725"/>
        <w:gridCol w:w="4705"/>
      </w:tblGrid>
      <w:tr w:rsidR="003506A7" w:rsidRPr="00195134" w:rsidTr="003506A7">
        <w:tc>
          <w:tcPr>
            <w:tcW w:w="4785" w:type="dxa"/>
          </w:tcPr>
          <w:p w:rsidR="003506A7" w:rsidRPr="00195134" w:rsidRDefault="003506A7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1.8.1. Степень регулирующего воздействия муниципального нормативного правового </w:t>
            </w:r>
            <w:r w:rsidRPr="0019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акта:</w:t>
            </w:r>
          </w:p>
        </w:tc>
        <w:tc>
          <w:tcPr>
            <w:tcW w:w="4786" w:type="dxa"/>
          </w:tcPr>
          <w:p w:rsidR="003506A7" w:rsidRPr="00195134" w:rsidRDefault="003506A7" w:rsidP="003D5EE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</w:tr>
      <w:tr w:rsidR="003506A7" w:rsidRPr="00195134" w:rsidTr="003506A7">
        <w:tc>
          <w:tcPr>
            <w:tcW w:w="9571" w:type="dxa"/>
            <w:gridSpan w:val="2"/>
          </w:tcPr>
          <w:p w:rsidR="003506A7" w:rsidRPr="00195134" w:rsidRDefault="003506A7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1.8.2. Обоснование отнесения проекта муниципального нормативного правового акта к определенной степени регулирующего воздействия: </w:t>
            </w:r>
            <w:r w:rsidR="003D5EE7" w:rsidRPr="00195134">
              <w:rPr>
                <w:rFonts w:ascii="Times New Roman" w:hAnsi="Times New Roman" w:cs="Times New Roman"/>
                <w:sz w:val="24"/>
                <w:szCs w:val="24"/>
              </w:rPr>
              <w:t>НПА не устанавливает и не изменяет обязанности, запреты и ограничения для частных лиц</w:t>
            </w:r>
          </w:p>
        </w:tc>
      </w:tr>
    </w:tbl>
    <w:p w:rsidR="0006348F" w:rsidRPr="00195134" w:rsidRDefault="00E91B1F" w:rsidP="0068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1.</w:t>
      </w:r>
      <w:r w:rsidR="0006348F" w:rsidRPr="00195134">
        <w:rPr>
          <w:rFonts w:ascii="Times New Roman" w:hAnsi="Times New Roman" w:cs="Times New Roman"/>
          <w:sz w:val="24"/>
          <w:szCs w:val="24"/>
        </w:rPr>
        <w:t>9</w:t>
      </w:r>
      <w:r w:rsidRPr="00195134">
        <w:rPr>
          <w:rFonts w:ascii="Times New Roman" w:hAnsi="Times New Roman" w:cs="Times New Roman"/>
          <w:sz w:val="24"/>
          <w:szCs w:val="24"/>
        </w:rPr>
        <w:t xml:space="preserve">. Контактная информация исполнителя </w:t>
      </w:r>
      <w:r w:rsidR="00683C37" w:rsidRPr="00195134">
        <w:rPr>
          <w:rFonts w:ascii="Times New Roman" w:hAnsi="Times New Roman" w:cs="Times New Roman"/>
          <w:sz w:val="24"/>
          <w:szCs w:val="24"/>
        </w:rPr>
        <w:t>отраслевого органа или структурного подразделение администрации Кировского муниципального района Ленинградской области, разработавшего проект муниципального нормативного правового акта</w:t>
      </w:r>
      <w:r w:rsidRPr="001951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5EE7" w:rsidRPr="00195134" w:rsidRDefault="00E91B1F" w:rsidP="00063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3D5EE7" w:rsidRPr="00195134">
        <w:rPr>
          <w:rFonts w:ascii="Times New Roman" w:hAnsi="Times New Roman" w:cs="Times New Roman"/>
          <w:sz w:val="24"/>
          <w:szCs w:val="24"/>
        </w:rPr>
        <w:t>Краснова Елена Афанасьевна</w:t>
      </w:r>
    </w:p>
    <w:p w:rsidR="003D5EE7" w:rsidRPr="00195134" w:rsidRDefault="00E91B1F" w:rsidP="00063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Должность:</w:t>
      </w:r>
      <w:r w:rsidR="003D5EE7" w:rsidRPr="00195134">
        <w:rPr>
          <w:rFonts w:ascii="Times New Roman" w:hAnsi="Times New Roman" w:cs="Times New Roman"/>
          <w:sz w:val="24"/>
          <w:szCs w:val="24"/>
        </w:rPr>
        <w:t xml:space="preserve"> председатель комитета образования</w:t>
      </w:r>
    </w:p>
    <w:p w:rsidR="003D5EE7" w:rsidRPr="00195134" w:rsidRDefault="00E91B1F" w:rsidP="00063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 xml:space="preserve">Тел: </w:t>
      </w:r>
      <w:r w:rsidR="003D5EE7" w:rsidRPr="00195134">
        <w:rPr>
          <w:rFonts w:ascii="Times New Roman" w:hAnsi="Times New Roman" w:cs="Times New Roman"/>
          <w:sz w:val="24"/>
          <w:szCs w:val="24"/>
        </w:rPr>
        <w:t>8(81362)21-268</w:t>
      </w:r>
    </w:p>
    <w:p w:rsidR="00E91B1F" w:rsidRPr="00195134" w:rsidRDefault="00E91B1F" w:rsidP="00063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E75BA6" w:rsidRPr="00195134">
        <w:rPr>
          <w:rFonts w:ascii="Times New Roman" w:hAnsi="Times New Roman" w:cs="Times New Roman"/>
          <w:sz w:val="24"/>
          <w:szCs w:val="24"/>
          <w:lang w:val="en-US"/>
        </w:rPr>
        <w:t>kirovsk</w:t>
      </w:r>
      <w:r w:rsidR="00E75BA6" w:rsidRPr="00195134">
        <w:rPr>
          <w:rFonts w:ascii="Times New Roman" w:hAnsi="Times New Roman" w:cs="Times New Roman"/>
          <w:sz w:val="24"/>
          <w:szCs w:val="24"/>
        </w:rPr>
        <w:t>-</w:t>
      </w:r>
      <w:r w:rsidR="00E75BA6" w:rsidRPr="0019513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E75BA6" w:rsidRPr="00195134">
        <w:rPr>
          <w:rFonts w:ascii="Times New Roman" w:hAnsi="Times New Roman" w:cs="Times New Roman"/>
          <w:sz w:val="24"/>
          <w:szCs w:val="24"/>
        </w:rPr>
        <w:t>@</w:t>
      </w:r>
      <w:r w:rsidR="00E75BA6" w:rsidRPr="00195134">
        <w:rPr>
          <w:rFonts w:ascii="Times New Roman" w:hAnsi="Times New Roman" w:cs="Times New Roman"/>
          <w:sz w:val="24"/>
          <w:szCs w:val="24"/>
          <w:lang w:val="en-US"/>
        </w:rPr>
        <w:t>kirovsk</w:t>
      </w:r>
      <w:r w:rsidR="00E75BA6" w:rsidRPr="00195134">
        <w:rPr>
          <w:rFonts w:ascii="Times New Roman" w:hAnsi="Times New Roman" w:cs="Times New Roman"/>
          <w:sz w:val="24"/>
          <w:szCs w:val="24"/>
        </w:rPr>
        <w:t>-</w:t>
      </w:r>
      <w:r w:rsidR="00E75BA6" w:rsidRPr="00195134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E75BA6" w:rsidRPr="00195134">
        <w:rPr>
          <w:rFonts w:ascii="Times New Roman" w:hAnsi="Times New Roman" w:cs="Times New Roman"/>
          <w:sz w:val="24"/>
          <w:szCs w:val="24"/>
        </w:rPr>
        <w:t>.</w:t>
      </w:r>
      <w:r w:rsidR="00E75BA6" w:rsidRPr="0019513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B0BE5" w:rsidRDefault="009B0BE5" w:rsidP="0006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48F" w:rsidRPr="009B0BE5" w:rsidRDefault="00E91B1F" w:rsidP="0006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  <w:r w:rsidR="0006348F" w:rsidRPr="009B0BE5">
        <w:rPr>
          <w:rFonts w:ascii="Times New Roman" w:hAnsi="Times New Roman" w:cs="Times New Roman"/>
          <w:b/>
          <w:sz w:val="24"/>
          <w:szCs w:val="24"/>
        </w:rPr>
        <w:t>, оценка негативных эффектов, возникающих в связи с наличием рассматриваемой проблемы</w:t>
      </w:r>
    </w:p>
    <w:p w:rsidR="00B172C0" w:rsidRPr="00B172C0" w:rsidRDefault="00E91B1F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8F"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B172C0">
        <w:rPr>
          <w:rFonts w:ascii="Times New Roman" w:hAnsi="Times New Roman" w:cs="Times New Roman"/>
          <w:sz w:val="24"/>
          <w:szCs w:val="24"/>
        </w:rPr>
        <w:t>о</w:t>
      </w:r>
      <w:r w:rsidR="00B172C0" w:rsidRPr="00B172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тсутствие правового регулирования делает невозможным предоставление грантов в форме субсидий </w:t>
      </w:r>
      <w:r w:rsidR="00B172C0">
        <w:rPr>
          <w:rFonts w:ascii="Times New Roman" w:hAnsi="Times New Roman" w:cs="Times New Roman"/>
          <w:sz w:val="24"/>
          <w:szCs w:val="24"/>
        </w:rPr>
        <w:t xml:space="preserve">в рамках персонифицированного финансирования дополнительного образования детей Кировского муниципального района Ленинградской области </w:t>
      </w:r>
      <w:r w:rsidR="00B172C0" w:rsidRPr="00195134">
        <w:rPr>
          <w:rFonts w:ascii="Times New Roman" w:hAnsi="Times New Roman" w:cs="Times New Roman"/>
          <w:sz w:val="24"/>
          <w:szCs w:val="24"/>
        </w:rPr>
        <w:t>юридическими лицами и индивидуальными предпринимателями</w:t>
      </w:r>
      <w:r w:rsidR="00B172C0" w:rsidRPr="00B172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осуществляющим</w:t>
      </w:r>
      <w:r w:rsidR="00EE69E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</w:t>
      </w:r>
      <w:r w:rsidR="00B172C0" w:rsidRPr="00B172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образовательную деятельность</w:t>
      </w:r>
      <w:r w:rsidR="00B172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06348F" w:rsidRPr="00E75BA6" w:rsidRDefault="0006348F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результатов и затраченных рес</w:t>
      </w:r>
      <w:r w:rsidR="00560E59">
        <w:rPr>
          <w:rFonts w:ascii="Times New Roman" w:hAnsi="Times New Roman" w:cs="Times New Roman"/>
          <w:sz w:val="24"/>
          <w:szCs w:val="24"/>
        </w:rPr>
        <w:t xml:space="preserve">урсах: </w:t>
      </w:r>
      <w:r w:rsidR="00E75B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06348F" w:rsidRPr="0006348F" w:rsidRDefault="0006348F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проб</w:t>
      </w:r>
      <w:r w:rsidR="00E75BA6">
        <w:rPr>
          <w:rFonts w:ascii="Times New Roman" w:hAnsi="Times New Roman" w:cs="Times New Roman"/>
          <w:sz w:val="24"/>
          <w:szCs w:val="24"/>
        </w:rPr>
        <w:t>лемы, их количественная оценка</w:t>
      </w:r>
      <w:r w:rsidR="00EE69E9" w:rsidRPr="00195134">
        <w:rPr>
          <w:rFonts w:ascii="Times New Roman" w:hAnsi="Times New Roman" w:cs="Times New Roman"/>
          <w:sz w:val="24"/>
          <w:szCs w:val="24"/>
        </w:rPr>
        <w:t>: юридические лица и индивидуальные предприниматели</w:t>
      </w:r>
      <w:r w:rsidR="00EE69E9">
        <w:rPr>
          <w:rFonts w:ascii="Times New Roman" w:hAnsi="Times New Roman" w:cs="Times New Roman"/>
          <w:sz w:val="24"/>
          <w:szCs w:val="24"/>
        </w:rPr>
        <w:t xml:space="preserve"> (ИП, НКО и др.)</w:t>
      </w:r>
      <w:r w:rsidR="00EE69E9" w:rsidRPr="00B172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осуществляющим образовательную деятельность</w:t>
      </w:r>
    </w:p>
    <w:p w:rsidR="00E75BA6" w:rsidRDefault="0006348F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  <w:r w:rsidR="00E75B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E75BA6" w:rsidRDefault="0006348F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 существование:</w:t>
      </w:r>
      <w:r w:rsidR="00E75B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B5A81" w:rsidRPr="004B5A81" w:rsidRDefault="0006348F" w:rsidP="004B5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560E59">
        <w:rPr>
          <w:rFonts w:ascii="Times New Roman" w:hAnsi="Times New Roman" w:cs="Times New Roman"/>
          <w:sz w:val="24"/>
          <w:szCs w:val="24"/>
        </w:rPr>
        <w:t xml:space="preserve"> Причины невозможности решения проблемы участниками соответствующих отношений самостоятельно: </w:t>
      </w:r>
      <w:r w:rsidR="004B5A81">
        <w:rPr>
          <w:rFonts w:ascii="Times New Roman" w:hAnsi="Times New Roman" w:cs="Times New Roman"/>
          <w:sz w:val="24"/>
          <w:szCs w:val="24"/>
        </w:rPr>
        <w:t>о</w:t>
      </w:r>
      <w:r w:rsidR="00EE69E9" w:rsidRPr="004B5A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тсутствие разработанных и принятых документов, </w:t>
      </w:r>
      <w:r w:rsidR="004B5A81" w:rsidRPr="004B5A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определяющих </w:t>
      </w:r>
      <w:r w:rsidR="004B5A81" w:rsidRPr="004B5A81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4B5A81" w:rsidRPr="004B5A81">
        <w:rPr>
          <w:rFonts w:ascii="Times New Roman" w:hAnsi="Times New Roman" w:cs="Times New Roman"/>
          <w:bCs/>
          <w:sz w:val="24"/>
          <w:szCs w:val="24"/>
        </w:rPr>
        <w:t xml:space="preserve">предоставления грантов в форме субсидии </w:t>
      </w:r>
      <w:r w:rsidR="004B5A81" w:rsidRPr="00195134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4B5A81" w:rsidRPr="004B5A81">
        <w:rPr>
          <w:rFonts w:ascii="Times New Roman" w:hAnsi="Times New Roman" w:cs="Times New Roman"/>
          <w:sz w:val="24"/>
          <w:szCs w:val="24"/>
        </w:rPr>
        <w:t xml:space="preserve"> (ИП, НКО и др.)</w:t>
      </w:r>
      <w:r w:rsidR="004B5A81" w:rsidRPr="004B5A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осуществляющим образовательную деятельность</w:t>
      </w:r>
    </w:p>
    <w:p w:rsidR="00560E59" w:rsidRPr="0006348F" w:rsidRDefault="00560E59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Опыт решения аналогичных проблем в других муниципальных образованиях, субъектах Российской Федерации, иностранных государствах: </w:t>
      </w:r>
      <w:r w:rsidR="00E75BA6">
        <w:rPr>
          <w:rFonts w:ascii="Times New Roman" w:hAnsi="Times New Roman" w:cs="Times New Roman"/>
          <w:sz w:val="24"/>
          <w:szCs w:val="24"/>
        </w:rPr>
        <w:t>идентичен.</w:t>
      </w:r>
    </w:p>
    <w:p w:rsidR="00E75BA6" w:rsidRDefault="00560E59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Источники данных: </w:t>
      </w:r>
      <w:r w:rsidR="00E75B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9B0BE5" w:rsidRDefault="00560E59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E75B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5F24A0" w:rsidRPr="009B0BE5" w:rsidRDefault="005F24A0" w:rsidP="005F2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1B1F" w:rsidRPr="009B0BE5">
        <w:rPr>
          <w:rFonts w:ascii="Times New Roman" w:hAnsi="Times New Roman" w:cs="Times New Roman"/>
          <w:b/>
          <w:sz w:val="24"/>
          <w:szCs w:val="24"/>
        </w:rPr>
        <w:t xml:space="preserve"> Определение целей предлагаемого правового регулирования и индикаторов для оценки их достижения</w:t>
      </w:r>
      <w:r w:rsidRPr="009B0BE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48"/>
        <w:gridCol w:w="3098"/>
        <w:gridCol w:w="3099"/>
      </w:tblGrid>
      <w:tr w:rsidR="005F24A0" w:rsidTr="00E75BA6">
        <w:tc>
          <w:tcPr>
            <w:tcW w:w="3148" w:type="dxa"/>
          </w:tcPr>
          <w:p w:rsidR="005F24A0" w:rsidRDefault="005F24A0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98" w:type="dxa"/>
          </w:tcPr>
          <w:p w:rsidR="005F24A0" w:rsidRDefault="005F24A0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099" w:type="dxa"/>
          </w:tcPr>
          <w:p w:rsidR="005F24A0" w:rsidRDefault="005F24A0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F24A0" w:rsidTr="00E75BA6">
        <w:tc>
          <w:tcPr>
            <w:tcW w:w="3148" w:type="dxa"/>
          </w:tcPr>
          <w:p w:rsidR="00E75BA6" w:rsidRDefault="00E75B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(ИП, НКО и др.) грантов в форме субсидий в рамках персонифицированного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Кировского муниципального района Ленинградской области.</w:t>
            </w:r>
          </w:p>
          <w:p w:rsidR="005F24A0" w:rsidRDefault="005F24A0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F24A0" w:rsidRDefault="00E75BA6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99" w:type="dxa"/>
          </w:tcPr>
          <w:p w:rsidR="005F24A0" w:rsidRDefault="00E75BA6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54684" w:rsidRDefault="00B54684" w:rsidP="00B5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A0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 для разработки проекта муниципального нормативного правового акта: </w:t>
      </w:r>
      <w:r w:rsidR="00E75BA6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1492. </w:t>
      </w:r>
    </w:p>
    <w:p w:rsidR="00B54684" w:rsidRPr="005F24A0" w:rsidRDefault="00B54684" w:rsidP="00B5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(действующие нормативные правовые акты, поручения, другие решения, из которых вытекает необходимость разработки проекта муниципального нормативного правового акта, которые определяют необходимость постановки указанных целей (указывае</w:t>
      </w:r>
      <w:r w:rsidRPr="005F24A0">
        <w:rPr>
          <w:rFonts w:ascii="Times New Roman" w:hAnsi="Times New Roman" w:cs="Times New Roman"/>
          <w:sz w:val="24"/>
          <w:szCs w:val="24"/>
        </w:rPr>
        <w:t>тся нормативный правовой акт более высокого уровня либо инициативный порядок разработки</w:t>
      </w:r>
      <w:r>
        <w:rPr>
          <w:rFonts w:ascii="Times New Roman" w:hAnsi="Times New Roman" w:cs="Times New Roman"/>
          <w:sz w:val="24"/>
          <w:szCs w:val="24"/>
        </w:rPr>
        <w:t>))</w:t>
      </w:r>
    </w:p>
    <w:tbl>
      <w:tblPr>
        <w:tblStyle w:val="a4"/>
        <w:tblW w:w="0" w:type="auto"/>
        <w:tblLook w:val="04A0"/>
      </w:tblPr>
      <w:tblGrid>
        <w:gridCol w:w="2794"/>
        <w:gridCol w:w="2941"/>
        <w:gridCol w:w="1654"/>
        <w:gridCol w:w="2041"/>
      </w:tblGrid>
      <w:tr w:rsidR="00B54684" w:rsidTr="00E75BA6">
        <w:tc>
          <w:tcPr>
            <w:tcW w:w="2651" w:type="dxa"/>
          </w:tcPr>
          <w:p w:rsidR="00B54684" w:rsidRDefault="00B54684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974" w:type="dxa"/>
          </w:tcPr>
          <w:p w:rsidR="00B54684" w:rsidRPr="00B54684" w:rsidRDefault="00B54684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 Индикаторы достижения целей предлагаемого правового регулирования</w:t>
            </w:r>
          </w:p>
        </w:tc>
        <w:tc>
          <w:tcPr>
            <w:tcW w:w="1658" w:type="dxa"/>
          </w:tcPr>
          <w:p w:rsidR="00B54684" w:rsidRDefault="00A1796C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2062" w:type="dxa"/>
          </w:tcPr>
          <w:p w:rsidR="00B54684" w:rsidRDefault="00A1796C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B54684" w:rsidTr="00E75BA6">
        <w:tc>
          <w:tcPr>
            <w:tcW w:w="2651" w:type="dxa"/>
          </w:tcPr>
          <w:p w:rsidR="00E75BA6" w:rsidRDefault="00E75B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(ИП, НКО и др.) грантов в форме субсидий в рамках персонифицированного финансирования дополнительного образования детей Кировского муниципального района Ленинградской области.</w:t>
            </w:r>
          </w:p>
          <w:p w:rsidR="00B54684" w:rsidRDefault="00B54684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54684" w:rsidRDefault="004B5A81" w:rsidP="00195134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95134">
              <w:rPr>
                <w:rFonts w:ascii="Times New Roman" w:hAnsi="Times New Roman" w:cs="Times New Roman"/>
                <w:sz w:val="24"/>
                <w:szCs w:val="24"/>
              </w:rPr>
              <w:t>юридических  лиц и индивидуальны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(ИП, НКО и др.), </w:t>
            </w:r>
            <w:r w:rsidRPr="004B5A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осуществляющи</w:t>
            </w:r>
            <w:r w:rsidR="001951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4B5A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образовательную деятельность</w:t>
            </w:r>
          </w:p>
        </w:tc>
        <w:tc>
          <w:tcPr>
            <w:tcW w:w="1658" w:type="dxa"/>
          </w:tcPr>
          <w:p w:rsidR="00B54684" w:rsidRDefault="004B5A81" w:rsidP="004B5A81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организаций, Ед.</w:t>
            </w:r>
          </w:p>
        </w:tc>
        <w:tc>
          <w:tcPr>
            <w:tcW w:w="2062" w:type="dxa"/>
          </w:tcPr>
          <w:p w:rsidR="00B54684" w:rsidRDefault="004B5A81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(одного)</w:t>
            </w:r>
          </w:p>
        </w:tc>
      </w:tr>
    </w:tbl>
    <w:p w:rsidR="00DF4E69" w:rsidRDefault="00DF4E69" w:rsidP="0022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06" w:rsidRPr="009B0BE5" w:rsidRDefault="00222A06" w:rsidP="00CC0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Style w:val="a4"/>
        <w:tblW w:w="0" w:type="auto"/>
        <w:tblLook w:val="04A0"/>
      </w:tblPr>
      <w:tblGrid>
        <w:gridCol w:w="3125"/>
        <w:gridCol w:w="4022"/>
        <w:gridCol w:w="2198"/>
      </w:tblGrid>
      <w:tr w:rsidR="00222A06" w:rsidRPr="00222A06" w:rsidTr="009D0A20">
        <w:tc>
          <w:tcPr>
            <w:tcW w:w="3125" w:type="dxa"/>
          </w:tcPr>
          <w:p w:rsidR="00222A06" w:rsidRPr="00222A06" w:rsidRDefault="00222A06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Группа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4022" w:type="dxa"/>
          </w:tcPr>
          <w:p w:rsidR="00222A06" w:rsidRDefault="00222A06" w:rsidP="009D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222A06" w:rsidRDefault="00222A06" w:rsidP="009D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муниципального нормативного правового акта</w:t>
            </w:r>
          </w:p>
          <w:p w:rsidR="00222A06" w:rsidRPr="00222A06" w:rsidRDefault="00222A06" w:rsidP="009D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198" w:type="dxa"/>
          </w:tcPr>
          <w:p w:rsidR="00222A06" w:rsidRPr="00222A06" w:rsidRDefault="00222A06" w:rsidP="009D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106BE" w:rsidRPr="00222A06" w:rsidTr="00E36037">
        <w:tc>
          <w:tcPr>
            <w:tcW w:w="3125" w:type="dxa"/>
          </w:tcPr>
          <w:p w:rsidR="00A106BE" w:rsidRPr="00222A06" w:rsidRDefault="00A106BE" w:rsidP="00222A06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6220" w:type="dxa"/>
            <w:gridSpan w:val="2"/>
          </w:tcPr>
          <w:p w:rsidR="00A106BE" w:rsidRPr="00222A06" w:rsidRDefault="00A106BE" w:rsidP="009D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Определяется на основании реестра </w:t>
            </w:r>
            <w:r w:rsidRPr="00A106B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поставщиков образовательных услуг в рамках системы персонифицированного финансирования</w:t>
            </w:r>
          </w:p>
        </w:tc>
      </w:tr>
    </w:tbl>
    <w:p w:rsidR="00222A06" w:rsidRDefault="00222A06" w:rsidP="0022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118" w:rsidRPr="009B0BE5" w:rsidRDefault="00DF4E69" w:rsidP="00CC0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 </w:t>
      </w:r>
    </w:p>
    <w:tbl>
      <w:tblPr>
        <w:tblStyle w:val="a4"/>
        <w:tblW w:w="9571" w:type="dxa"/>
        <w:tblLayout w:type="fixed"/>
        <w:tblLook w:val="04A0"/>
      </w:tblPr>
      <w:tblGrid>
        <w:gridCol w:w="1855"/>
        <w:gridCol w:w="1939"/>
        <w:gridCol w:w="1843"/>
        <w:gridCol w:w="1984"/>
        <w:gridCol w:w="1950"/>
      </w:tblGrid>
      <w:tr w:rsidR="00EA2118" w:rsidTr="009D0A20">
        <w:tc>
          <w:tcPr>
            <w:tcW w:w="1855" w:type="dxa"/>
          </w:tcPr>
          <w:p w:rsidR="00EA211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39" w:type="dxa"/>
          </w:tcPr>
          <w:p w:rsidR="00460A9D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Характер Функции </w:t>
            </w:r>
          </w:p>
          <w:p w:rsidR="00CC024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(новая/</w:t>
            </w:r>
          </w:p>
          <w:p w:rsidR="00CC0248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0248">
              <w:rPr>
                <w:rFonts w:ascii="Times New Roman" w:hAnsi="Times New Roman" w:cs="Times New Roman"/>
                <w:sz w:val="24"/>
                <w:szCs w:val="24"/>
              </w:rPr>
              <w:t>зменяемая/</w:t>
            </w:r>
          </w:p>
          <w:p w:rsidR="00EA211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:rsidR="00CC0248" w:rsidRDefault="00CC0248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11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Предлагаемый порядок реализации</w:t>
            </w:r>
          </w:p>
        </w:tc>
        <w:tc>
          <w:tcPr>
            <w:tcW w:w="1984" w:type="dxa"/>
          </w:tcPr>
          <w:p w:rsidR="00EA211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(чел./час., в год), изменения численности сотрудников (чел.)</w:t>
            </w:r>
          </w:p>
        </w:tc>
        <w:tc>
          <w:tcPr>
            <w:tcW w:w="1950" w:type="dxa"/>
          </w:tcPr>
          <w:p w:rsidR="00EA211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A106BE" w:rsidTr="0090003D">
        <w:tc>
          <w:tcPr>
            <w:tcW w:w="9571" w:type="dxa"/>
            <w:gridSpan w:val="5"/>
          </w:tcPr>
          <w:p w:rsidR="00A106BE" w:rsidRDefault="00A106BE" w:rsidP="00A10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приведет к изменению функций (полномочий, обязанностей, прав) органов местного самоуправления </w:t>
            </w:r>
          </w:p>
        </w:tc>
      </w:tr>
    </w:tbl>
    <w:p w:rsidR="00DF4E69" w:rsidRDefault="009B0BE5" w:rsidP="00DF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9B0BE5" w:rsidRPr="00DF4E69" w:rsidRDefault="009B0BE5" w:rsidP="00DF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BE5" w:rsidRPr="00D932A6" w:rsidRDefault="009B0BE5" w:rsidP="009B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B0BE5">
        <w:rPr>
          <w:rFonts w:ascii="Times New Roman" w:hAnsi="Times New Roman" w:cs="Times New Roman"/>
          <w:b/>
          <w:sz w:val="24"/>
          <w:szCs w:val="24"/>
        </w:rPr>
        <w:t>. Оценка дополнительных расходов (доходов) бюджета Кировского муниципального района Ленинградской области, связанных с введением предлагаемого правового регулирования</w:t>
      </w:r>
      <w:r w:rsidR="00D932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32A6" w:rsidRPr="00D932A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E5D5B" w:rsidRDefault="004E5D5B" w:rsidP="004E5D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5D5B" w:rsidRPr="00B01C84" w:rsidRDefault="00A106BE" w:rsidP="00B01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E5D5B" w:rsidRPr="004E5D5B">
        <w:rPr>
          <w:rFonts w:ascii="Times New Roman" w:hAnsi="Times New Roman" w:cs="Times New Roman"/>
          <w:b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4"/>
        <w:tblW w:w="0" w:type="auto"/>
        <w:tblLook w:val="04A0"/>
      </w:tblPr>
      <w:tblGrid>
        <w:gridCol w:w="2533"/>
        <w:gridCol w:w="2329"/>
        <w:gridCol w:w="2271"/>
        <w:gridCol w:w="2297"/>
      </w:tblGrid>
      <w:tr w:rsidR="004E5D5B" w:rsidTr="004E5D5B">
        <w:tc>
          <w:tcPr>
            <w:tcW w:w="2392" w:type="dxa"/>
          </w:tcPr>
          <w:p w:rsidR="004E5D5B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 xml:space="preserve">.1. Группы потенциальных адресатов предлагаемого правового регулирования (в соответствии с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записки)</w:t>
            </w:r>
          </w:p>
        </w:tc>
        <w:tc>
          <w:tcPr>
            <w:tcW w:w="2393" w:type="dxa"/>
          </w:tcPr>
          <w:p w:rsidR="004E5D5B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 xml:space="preserve">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93" w:type="dxa"/>
          </w:tcPr>
          <w:p w:rsidR="00460A9D" w:rsidRPr="00DF4E69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>.3. Описание расходов и возможных доходов, связанных с введением предлагаемого правового регулирования</w:t>
            </w:r>
          </w:p>
          <w:p w:rsidR="004E5D5B" w:rsidRDefault="004E5D5B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0A9D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 xml:space="preserve">.4. Количественная оценка, </w:t>
            </w:r>
          </w:p>
          <w:p w:rsidR="004E5D5B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E30C45" w:rsidTr="007E42B2">
        <w:trPr>
          <w:trHeight w:val="1104"/>
        </w:trPr>
        <w:tc>
          <w:tcPr>
            <w:tcW w:w="2392" w:type="dxa"/>
          </w:tcPr>
          <w:p w:rsidR="00E30C45" w:rsidRDefault="00E30C45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5134">
              <w:rPr>
                <w:rFonts w:ascii="Times New Roman" w:hAnsi="Times New Roman" w:cs="Times New Roman"/>
                <w:sz w:val="24"/>
                <w:szCs w:val="24"/>
              </w:rPr>
              <w:t>Юридические 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(ИП, НКО и др.)</w:t>
            </w:r>
          </w:p>
        </w:tc>
        <w:tc>
          <w:tcPr>
            <w:tcW w:w="7179" w:type="dxa"/>
            <w:gridSpan w:val="3"/>
            <w:vMerge w:val="restart"/>
          </w:tcPr>
          <w:p w:rsidR="00E30C45" w:rsidRDefault="00E30C45" w:rsidP="00E30C45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предоставления дополнительного образования детей в </w:t>
            </w:r>
            <w:r w:rsidRPr="00B44C6A">
              <w:rPr>
                <w:rFonts w:ascii="Times New Roman" w:hAnsi="Times New Roman" w:cs="Times New Roman"/>
              </w:rPr>
              <w:t>рамках реализации мероприятий федерального проекта «Успех каждого ребенка» национального проекта «Образование»</w:t>
            </w:r>
          </w:p>
        </w:tc>
      </w:tr>
      <w:tr w:rsidR="00E30C45" w:rsidTr="00D93DA3">
        <w:trPr>
          <w:trHeight w:val="562"/>
        </w:trPr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E30C45" w:rsidRPr="00460A9D" w:rsidRDefault="00E30C45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7179" w:type="dxa"/>
            <w:gridSpan w:val="3"/>
            <w:vMerge/>
            <w:tcBorders>
              <w:bottom w:val="single" w:sz="4" w:space="0" w:color="000000" w:themeColor="text1"/>
            </w:tcBorders>
          </w:tcPr>
          <w:p w:rsidR="00E30C45" w:rsidRDefault="00E30C45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D5B" w:rsidRPr="00DF4E69" w:rsidRDefault="004E5D5B" w:rsidP="004E5D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ACD" w:rsidRPr="003506A7" w:rsidRDefault="00460A9D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5D5B" w:rsidRPr="00DF4E69">
        <w:rPr>
          <w:rFonts w:ascii="Times New Roman" w:hAnsi="Times New Roman" w:cs="Times New Roman"/>
          <w:sz w:val="24"/>
          <w:szCs w:val="24"/>
        </w:rPr>
        <w:t>.5. Издержки и выгоды адресатов предлагаемого правового регулирования, не поддающиеся количественной оценке:</w:t>
      </w:r>
      <w:r w:rsidR="00430ACD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30ACD" w:rsidRPr="003506A7" w:rsidRDefault="00460A9D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5D5B" w:rsidRPr="00DF4E69">
        <w:rPr>
          <w:rFonts w:ascii="Times New Roman" w:hAnsi="Times New Roman" w:cs="Times New Roman"/>
          <w:sz w:val="24"/>
          <w:szCs w:val="24"/>
        </w:rPr>
        <w:t>.6. Источники данных:</w:t>
      </w:r>
      <w:r w:rsidR="00430ACD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E5D5B" w:rsidRDefault="004E5D5B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A6" w:rsidRPr="00DF4E69" w:rsidRDefault="00D932A6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A9D" w:rsidRPr="00460A9D" w:rsidRDefault="00460A9D" w:rsidP="00460A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0A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Оценка рисков неблагоприятных последствий применения предлагаемого правового регулирования </w:t>
      </w:r>
    </w:p>
    <w:tbl>
      <w:tblPr>
        <w:tblStyle w:val="a4"/>
        <w:tblW w:w="0" w:type="auto"/>
        <w:tblLook w:val="04A0"/>
      </w:tblPr>
      <w:tblGrid>
        <w:gridCol w:w="2356"/>
        <w:gridCol w:w="2377"/>
        <w:gridCol w:w="2341"/>
        <w:gridCol w:w="2356"/>
      </w:tblGrid>
      <w:tr w:rsidR="00460A9D" w:rsidTr="00460A9D">
        <w:tc>
          <w:tcPr>
            <w:tcW w:w="2392" w:type="dxa"/>
          </w:tcPr>
          <w:p w:rsidR="00460A9D" w:rsidRPr="00460A9D" w:rsidRDefault="00460A9D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0A9D">
              <w:rPr>
                <w:rFonts w:ascii="Times New Roman" w:hAnsi="Times New Roman" w:cs="Times New Roman"/>
                <w:sz w:val="24"/>
                <w:szCs w:val="24"/>
              </w:rPr>
              <w:t xml:space="preserve">.1. Виды рисков </w:t>
            </w:r>
          </w:p>
          <w:p w:rsidR="00460A9D" w:rsidRDefault="00460A9D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0A9D" w:rsidRPr="00460A9D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0A9D">
              <w:rPr>
                <w:rFonts w:ascii="Times New Roman" w:hAnsi="Times New Roman" w:cs="Times New Roman"/>
                <w:sz w:val="24"/>
                <w:szCs w:val="24"/>
              </w:rPr>
              <w:t>.2. Оценка вероятности наступления неблагоприятных последствий</w:t>
            </w:r>
          </w:p>
          <w:p w:rsidR="00460A9D" w:rsidRDefault="00460A9D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0A9D" w:rsidRPr="00460A9D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0A9D">
              <w:rPr>
                <w:rFonts w:ascii="Times New Roman" w:hAnsi="Times New Roman" w:cs="Times New Roman"/>
                <w:sz w:val="24"/>
                <w:szCs w:val="24"/>
              </w:rPr>
              <w:t>.3. Методы контроля рисков</w:t>
            </w:r>
          </w:p>
          <w:p w:rsidR="00460A9D" w:rsidRDefault="00460A9D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0A9D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0A9D">
              <w:rPr>
                <w:rFonts w:ascii="Times New Roman" w:hAnsi="Times New Roman" w:cs="Times New Roman"/>
                <w:sz w:val="24"/>
                <w:szCs w:val="24"/>
              </w:rPr>
              <w:t>.4. Степень контроля рисков (полный / частичный / отсутствует)</w:t>
            </w:r>
          </w:p>
        </w:tc>
      </w:tr>
      <w:tr w:rsidR="001C496A" w:rsidTr="00913A51">
        <w:tc>
          <w:tcPr>
            <w:tcW w:w="2392" w:type="dxa"/>
          </w:tcPr>
          <w:p w:rsidR="001C496A" w:rsidRDefault="001C496A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7179" w:type="dxa"/>
            <w:gridSpan w:val="3"/>
          </w:tcPr>
          <w:p w:rsidR="001C496A" w:rsidRDefault="001C496A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460A9D" w:rsidRDefault="00460A9D" w:rsidP="00460A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ACD" w:rsidRPr="003506A7" w:rsidRDefault="00460A9D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0A9D">
        <w:rPr>
          <w:rFonts w:ascii="Times New Roman" w:hAnsi="Times New Roman" w:cs="Times New Roman"/>
          <w:sz w:val="24"/>
          <w:szCs w:val="24"/>
        </w:rPr>
        <w:t>.5. Источники данных:</w:t>
      </w:r>
      <w:r w:rsidR="00430ACD">
        <w:rPr>
          <w:rFonts w:ascii="Times New Roman" w:hAnsi="Times New Roman" w:cs="Times New Roman"/>
          <w:sz w:val="24"/>
          <w:szCs w:val="24"/>
        </w:rPr>
        <w:t>отсутству</w:t>
      </w:r>
      <w:r w:rsidR="00195134">
        <w:rPr>
          <w:rFonts w:ascii="Times New Roman" w:hAnsi="Times New Roman" w:cs="Times New Roman"/>
          <w:sz w:val="24"/>
          <w:szCs w:val="24"/>
        </w:rPr>
        <w:t>ю</w:t>
      </w:r>
      <w:r w:rsidR="00430ACD">
        <w:rPr>
          <w:rFonts w:ascii="Times New Roman" w:hAnsi="Times New Roman" w:cs="Times New Roman"/>
          <w:sz w:val="24"/>
          <w:szCs w:val="24"/>
        </w:rPr>
        <w:t>т.</w:t>
      </w:r>
    </w:p>
    <w:p w:rsidR="00460A9D" w:rsidRPr="00460A9D" w:rsidRDefault="00460A9D" w:rsidP="00430A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052" w:rsidRPr="00CE5052" w:rsidRDefault="00460A9D" w:rsidP="00460A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5052">
        <w:rPr>
          <w:rFonts w:ascii="Times New Roman" w:hAnsi="Times New Roman" w:cs="Times New Roman"/>
          <w:b/>
          <w:sz w:val="24"/>
          <w:szCs w:val="24"/>
        </w:rPr>
        <w:t>9</w:t>
      </w:r>
      <w:r w:rsidR="00E91B1F" w:rsidRPr="00CE5052">
        <w:rPr>
          <w:rFonts w:ascii="Times New Roman" w:hAnsi="Times New Roman" w:cs="Times New Roman"/>
          <w:b/>
          <w:sz w:val="24"/>
          <w:szCs w:val="24"/>
        </w:rPr>
        <w:t xml:space="preserve">. Сравнение </w:t>
      </w:r>
      <w:r w:rsidR="00CE5052" w:rsidRPr="00CE5052">
        <w:rPr>
          <w:rFonts w:ascii="Times New Roman" w:hAnsi="Times New Roman" w:cs="Times New Roman"/>
          <w:b/>
          <w:sz w:val="24"/>
          <w:szCs w:val="24"/>
        </w:rPr>
        <w:t>возможных вариантов решения проблемы:</w:t>
      </w:r>
    </w:p>
    <w:tbl>
      <w:tblPr>
        <w:tblStyle w:val="a4"/>
        <w:tblW w:w="0" w:type="auto"/>
        <w:tblLook w:val="04A0"/>
      </w:tblPr>
      <w:tblGrid>
        <w:gridCol w:w="5112"/>
        <w:gridCol w:w="1942"/>
        <w:gridCol w:w="2126"/>
      </w:tblGrid>
      <w:tr w:rsidR="00D932A6" w:rsidTr="00D932A6">
        <w:tc>
          <w:tcPr>
            <w:tcW w:w="511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932A6" w:rsidRDefault="00D932A6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126" w:type="dxa"/>
          </w:tcPr>
          <w:p w:rsidR="00D932A6" w:rsidRDefault="00D932A6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932A6" w:rsidTr="00D932A6">
        <w:tc>
          <w:tcPr>
            <w:tcW w:w="511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42" w:type="dxa"/>
          </w:tcPr>
          <w:p w:rsidR="00D932A6" w:rsidRPr="00D932A6" w:rsidRDefault="00D932A6" w:rsidP="00D932A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6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</w:t>
            </w:r>
          </w:p>
        </w:tc>
        <w:tc>
          <w:tcPr>
            <w:tcW w:w="2126" w:type="dxa"/>
          </w:tcPr>
          <w:p w:rsidR="00D932A6" w:rsidRP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6">
              <w:rPr>
                <w:rFonts w:ascii="Times New Roman" w:hAnsi="Times New Roman" w:cs="Times New Roman"/>
                <w:sz w:val="24"/>
                <w:szCs w:val="24"/>
              </w:rPr>
              <w:t>Непринятие нормативного правового акта</w:t>
            </w:r>
          </w:p>
        </w:tc>
      </w:tr>
      <w:tr w:rsidR="00D932A6" w:rsidTr="00D932A6">
        <w:tc>
          <w:tcPr>
            <w:tcW w:w="5112" w:type="dxa"/>
          </w:tcPr>
          <w:p w:rsidR="00D932A6" w:rsidRPr="00CE5052" w:rsidRDefault="00D932A6" w:rsidP="009D0A20">
            <w:pPr>
              <w:pStyle w:val="ConsPlusNormal"/>
              <w:ind w:firstLine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</w:t>
            </w:r>
            <w:r w:rsidRPr="00CE5052">
              <w:rPr>
                <w:rFonts w:ascii="Times New Roman" w:eastAsiaTheme="minorEastAsia" w:hAnsi="Times New Roman" w:cs="Times New Roman"/>
                <w:sz w:val="24"/>
                <w:szCs w:val="24"/>
              </w:rPr>
              <w:t>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4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126" w:type="dxa"/>
          </w:tcPr>
          <w:p w:rsidR="00D932A6" w:rsidRDefault="00D932A6" w:rsidP="00463D1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932A6" w:rsidTr="00D932A6">
        <w:tc>
          <w:tcPr>
            <w:tcW w:w="5112" w:type="dxa"/>
          </w:tcPr>
          <w:p w:rsidR="00D932A6" w:rsidRDefault="00D932A6" w:rsidP="009D0A20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E5052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4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2A6" w:rsidTr="00D932A6">
        <w:tc>
          <w:tcPr>
            <w:tcW w:w="5112" w:type="dxa"/>
          </w:tcPr>
          <w:p w:rsidR="00D932A6" w:rsidRDefault="00D932A6" w:rsidP="009D0A20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E5052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  <w:r w:rsidRPr="00CE5052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94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2A6" w:rsidTr="00D932A6">
        <w:tc>
          <w:tcPr>
            <w:tcW w:w="5112" w:type="dxa"/>
          </w:tcPr>
          <w:p w:rsidR="00D932A6" w:rsidRPr="00CE5052" w:rsidRDefault="00D932A6" w:rsidP="009D0A20">
            <w:pPr>
              <w:pStyle w:val="ConsPlusNormal"/>
              <w:ind w:firstLine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  <w:r w:rsidRPr="00CE5052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(</w:t>
            </w:r>
            <w:hyperlink r:id="rId8" w:history="1">
              <w:r w:rsidRPr="00CE5052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раздел 3</w:t>
              </w:r>
            </w:hyperlink>
            <w:r w:rsidRPr="00CE50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пояснительной записки)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4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2A6" w:rsidTr="00D932A6">
        <w:tc>
          <w:tcPr>
            <w:tcW w:w="511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42" w:type="dxa"/>
          </w:tcPr>
          <w:p w:rsidR="00D932A6" w:rsidRDefault="00D932A6" w:rsidP="00D932A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предвидятся</w:t>
            </w:r>
          </w:p>
        </w:tc>
        <w:tc>
          <w:tcPr>
            <w:tcW w:w="2126" w:type="dxa"/>
          </w:tcPr>
          <w:p w:rsidR="00D932A6" w:rsidRDefault="00D932A6" w:rsidP="00D932A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законодательства</w:t>
            </w:r>
          </w:p>
        </w:tc>
      </w:tr>
    </w:tbl>
    <w:p w:rsidR="00CE5052" w:rsidRDefault="00CE5052" w:rsidP="00CE50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ACD" w:rsidRPr="003506A7" w:rsidRDefault="00CE5052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>9.7.  Обоснование выбора предпочтительного варианта решения выявленной</w:t>
      </w:r>
      <w:r w:rsidR="000358A1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проблемы:</w:t>
      </w:r>
      <w:r w:rsidR="000358A1">
        <w:rPr>
          <w:rFonts w:ascii="Times New Roman" w:hAnsi="Times New Roman" w:cs="Times New Roman"/>
          <w:sz w:val="24"/>
          <w:szCs w:val="24"/>
        </w:rPr>
        <w:t xml:space="preserve"> </w:t>
      </w:r>
      <w:r w:rsidR="00430ACD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30ACD" w:rsidRPr="003506A7" w:rsidRDefault="00CE5052" w:rsidP="00430A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  <w:r w:rsidR="00430ACD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DC699C" w:rsidRDefault="00DC699C" w:rsidP="00CE50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52">
        <w:rPr>
          <w:rFonts w:ascii="Times New Roman" w:hAnsi="Times New Roman" w:cs="Times New Roman"/>
          <w:b/>
          <w:sz w:val="24"/>
          <w:szCs w:val="24"/>
        </w:rPr>
        <w:t>10.   Оценка необходимости установления переходного периода и(или)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CE5052" w:rsidRPr="00430ACD" w:rsidRDefault="00CE5052" w:rsidP="00430AC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5052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</w:t>
      </w:r>
      <w:r w:rsidRPr="00CE5052">
        <w:rPr>
          <w:rFonts w:ascii="Times New Roman" w:hAnsi="Times New Roman" w:cs="Times New Roman"/>
          <w:sz w:val="24"/>
          <w:szCs w:val="24"/>
        </w:rPr>
        <w:t xml:space="preserve"> акта:</w:t>
      </w:r>
      <w:r w:rsidR="007F1C8B">
        <w:rPr>
          <w:rFonts w:ascii="Times New Roman" w:hAnsi="Times New Roman" w:cs="Times New Roman"/>
          <w:sz w:val="24"/>
          <w:szCs w:val="24"/>
        </w:rPr>
        <w:t xml:space="preserve"> </w:t>
      </w:r>
      <w:r w:rsidR="00430ACD" w:rsidRPr="00430ACD">
        <w:rPr>
          <w:rFonts w:ascii="Times New Roman" w:hAnsi="Times New Roman" w:cs="Times New Roman"/>
          <w:sz w:val="22"/>
          <w:szCs w:val="22"/>
        </w:rPr>
        <w:t>после официального опубликования.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>10.2.   Необходимость установления переходного периода и(или) отсрочки</w:t>
      </w:r>
      <w:r w:rsidR="007F1C8B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нет</w:t>
      </w:r>
      <w:r w:rsidR="00430ACD">
        <w:rPr>
          <w:rFonts w:ascii="Times New Roman" w:hAnsi="Times New Roman" w:cs="Times New Roman"/>
          <w:sz w:val="24"/>
          <w:szCs w:val="24"/>
        </w:rPr>
        <w:t>.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lastRenderedPageBreak/>
        <w:t xml:space="preserve">а) срок переходного периода: </w:t>
      </w:r>
      <w:r w:rsidR="00430ACD">
        <w:rPr>
          <w:rFonts w:ascii="Times New Roman" w:hAnsi="Times New Roman" w:cs="Times New Roman"/>
          <w:sz w:val="24"/>
          <w:szCs w:val="24"/>
        </w:rPr>
        <w:t>0</w:t>
      </w:r>
      <w:r w:rsidRPr="00CE5052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</w:t>
      </w:r>
      <w:r w:rsidR="007F1C8B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r w:rsidR="00430ACD">
        <w:rPr>
          <w:rFonts w:ascii="Times New Roman" w:hAnsi="Times New Roman" w:cs="Times New Roman"/>
          <w:sz w:val="24"/>
          <w:szCs w:val="24"/>
        </w:rPr>
        <w:t>0</w:t>
      </w:r>
      <w:r w:rsidRPr="00CE5052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7F1C8B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момента принятия проекта акта.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>10.3.  Необходимость распространения предлагаемого правового регулирования</w:t>
      </w:r>
      <w:r w:rsidR="007F1C8B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на ранее возникшие отношения:</w:t>
      </w:r>
      <w:r w:rsidR="007F1C8B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нет.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 xml:space="preserve">10.3.1.  Период распространения на ранее возникшие отношения: </w:t>
      </w:r>
      <w:r w:rsidR="00430ACD">
        <w:rPr>
          <w:rFonts w:ascii="Times New Roman" w:hAnsi="Times New Roman" w:cs="Times New Roman"/>
          <w:sz w:val="24"/>
          <w:szCs w:val="24"/>
        </w:rPr>
        <w:t>0</w:t>
      </w:r>
      <w:r w:rsidRPr="00CE5052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7F1C8B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момента принятия проекта акта.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>10.4.  Обоснование необходимости установления переходного периода и(или)отсрочки вступления в силу проекта акта либо необходимость распространения</w:t>
      </w:r>
      <w:r w:rsidR="007F1C8B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предлагаемого правового регулирования на ранее возникшие отношения:</w:t>
      </w:r>
      <w:r w:rsidR="00430ACD">
        <w:rPr>
          <w:rFonts w:ascii="Times New Roman" w:hAnsi="Times New Roman" w:cs="Times New Roman"/>
          <w:sz w:val="24"/>
          <w:szCs w:val="24"/>
        </w:rPr>
        <w:t xml:space="preserve"> отсутству</w:t>
      </w:r>
      <w:r w:rsidR="001E003B">
        <w:rPr>
          <w:rFonts w:ascii="Times New Roman" w:hAnsi="Times New Roman" w:cs="Times New Roman"/>
          <w:sz w:val="24"/>
          <w:szCs w:val="24"/>
        </w:rPr>
        <w:t>е</w:t>
      </w:r>
      <w:r w:rsidR="00430ACD">
        <w:rPr>
          <w:rFonts w:ascii="Times New Roman" w:hAnsi="Times New Roman" w:cs="Times New Roman"/>
          <w:sz w:val="24"/>
          <w:szCs w:val="24"/>
        </w:rPr>
        <w:t>т.</w:t>
      </w:r>
    </w:p>
    <w:p w:rsidR="00CE5052" w:rsidRDefault="00D317B8" w:rsidP="00D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Иные сведения, которые по мнению разработчика проекта муниципального нормативного правового акта, позволяют оценить обоснованность предлагаемого способа правового регулирования.</w:t>
      </w:r>
    </w:p>
    <w:p w:rsidR="00D317B8" w:rsidRPr="00263A75" w:rsidRDefault="00D317B8" w:rsidP="00D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Иные необходимые, по мнению разработчика проекта муниципального нормативного правового акта, сведения: </w:t>
      </w:r>
      <w:r w:rsidRPr="00263A75">
        <w:rPr>
          <w:rFonts w:ascii="Times New Roman" w:hAnsi="Times New Roman" w:cs="Times New Roman"/>
          <w:i/>
          <w:sz w:val="24"/>
          <w:szCs w:val="24"/>
        </w:rPr>
        <w:t>отсутствуют.</w:t>
      </w:r>
    </w:p>
    <w:p w:rsidR="00D317B8" w:rsidRDefault="00D317B8" w:rsidP="00D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12. Информация о сроках проведения публичного обсуждения по проекту муниципального нормативного правового акта и пояснительной записки</w:t>
      </w:r>
      <w:r w:rsidR="00263A75">
        <w:rPr>
          <w:rFonts w:ascii="Times New Roman" w:hAnsi="Times New Roman" w:cs="Times New Roman"/>
          <w:sz w:val="24"/>
          <w:szCs w:val="24"/>
        </w:rPr>
        <w:t>.</w:t>
      </w:r>
    </w:p>
    <w:p w:rsidR="00D317B8" w:rsidRDefault="00D317B8" w:rsidP="00D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Срок в течени</w:t>
      </w:r>
      <w:r w:rsidR="007F1C8B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которого разработчиком принимались предложения в связи с публичным обсуждением по проекту муниципального нормативного правового акта и пояснительной записке об оценке регулирующего воздействия: начало: </w:t>
      </w:r>
      <w:r w:rsidRPr="00D317B8">
        <w:rPr>
          <w:rFonts w:ascii="Times New Roman" w:hAnsi="Times New Roman" w:cs="Times New Roman"/>
          <w:i/>
          <w:sz w:val="24"/>
          <w:szCs w:val="24"/>
        </w:rPr>
        <w:t>20 августа 2021г.; окончание: 03 сентября 2021 г.</w:t>
      </w:r>
    </w:p>
    <w:p w:rsidR="00D317B8" w:rsidRDefault="00D317B8" w:rsidP="00D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Сведения об органах, организациях и представителях предпринимательского сообщества, извещенных о проведении публичного обсуждения:</w:t>
      </w:r>
    </w:p>
    <w:p w:rsidR="00263A75" w:rsidRDefault="00D317B8" w:rsidP="002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9" w:history="1">
        <w:r w:rsidR="00263A75" w:rsidRPr="00263A75">
          <w:rPr>
            <w:rFonts w:ascii="Times New Roman" w:eastAsia="Times New Roman" w:hAnsi="Times New Roman" w:cs="Times New Roman"/>
            <w:sz w:val="24"/>
            <w:szCs w:val="24"/>
          </w:rPr>
          <w:t>Совет Ленинградского областного регионального отделения Общероссийской общественной организации «Деловая Россия»</w:t>
        </w:r>
      </w:hyperlink>
      <w:r w:rsidR="00263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A75" w:rsidRDefault="00263A75" w:rsidP="002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10" w:history="1">
        <w:r w:rsidRPr="00263A75">
          <w:rPr>
            <w:rFonts w:ascii="Times New Roman" w:eastAsia="Times New Roman" w:hAnsi="Times New Roman" w:cs="Times New Roman"/>
            <w:sz w:val="24"/>
            <w:szCs w:val="24"/>
          </w:rPr>
          <w:t>ФОЦ "Крепыш"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A75" w:rsidRDefault="00263A75" w:rsidP="002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11" w:history="1">
        <w:r w:rsidRPr="00263A75">
          <w:rPr>
            <w:rFonts w:ascii="Times New Roman" w:eastAsia="Times New Roman" w:hAnsi="Times New Roman" w:cs="Times New Roman"/>
            <w:sz w:val="24"/>
            <w:szCs w:val="24"/>
          </w:rPr>
          <w:t>МБУДО "РЦДО"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A75" w:rsidRDefault="00263A75" w:rsidP="00263A75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3A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" w:history="1">
        <w:r w:rsidRPr="00263A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Торгово-промышленная палата Ленинградской области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263A75" w:rsidRPr="00263A75" w:rsidRDefault="00263A75" w:rsidP="00263A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12.3. Сведения об органах, организациях и лицах, представивших замечания и предложения: </w:t>
      </w:r>
      <w:r w:rsidRPr="00263A75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>замечаний и предложений не представлено.</w:t>
      </w:r>
    </w:p>
    <w:p w:rsidR="00D317B8" w:rsidRDefault="00263A75" w:rsidP="00D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Сведения о количестве замечаний и предложений, полученных в ходе публичного обсуждения по проекту муниципального нормативного правового акта и пояснительной записки:</w:t>
      </w:r>
    </w:p>
    <w:p w:rsidR="00263A75" w:rsidRPr="00263A75" w:rsidRDefault="00263A75" w:rsidP="0026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замечаний и предложений: 0, из них учтено: полностью: 0, учтено частично: 0.</w:t>
      </w:r>
    </w:p>
    <w:p w:rsidR="00263A75" w:rsidRDefault="00263A75" w:rsidP="001E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FF5" w:rsidRDefault="001E003B" w:rsidP="001E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Председатель комитета образования</w:t>
      </w:r>
    </w:p>
    <w:p w:rsidR="002A7FF5" w:rsidRDefault="002A7FF5" w:rsidP="001E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</w:t>
      </w:r>
    </w:p>
    <w:p w:rsidR="002A7FF5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65405</wp:posOffset>
            </wp:positionV>
            <wp:extent cx="1276350" cy="638175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FF5"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</w:p>
    <w:p w:rsidR="002A7FF5" w:rsidRDefault="002A7FF5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разработавшего проект муниципального</w:t>
      </w:r>
    </w:p>
    <w:p w:rsidR="000358A1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4067175</wp:posOffset>
            </wp:positionV>
            <wp:extent cx="1587500" cy="6350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7843520</wp:posOffset>
            </wp:positionV>
            <wp:extent cx="1587500" cy="6350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7843520</wp:posOffset>
            </wp:positionV>
            <wp:extent cx="1587500" cy="635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7843520</wp:posOffset>
            </wp:positionV>
            <wp:extent cx="1587500" cy="635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FF5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2A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Е.А.Краснова</w:t>
      </w:r>
    </w:p>
    <w:p w:rsidR="000358A1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A1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A1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A1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A1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A1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A1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A1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A1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A1" w:rsidRDefault="000358A1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F5" w:rsidRPr="00A942D5" w:rsidRDefault="002A7FF5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03B">
        <w:rPr>
          <w:rFonts w:ascii="Times New Roman" w:hAnsi="Times New Roman" w:cs="Times New Roman"/>
          <w:sz w:val="24"/>
          <w:szCs w:val="24"/>
        </w:rPr>
        <w:t xml:space="preserve">      </w:t>
      </w:r>
      <w:r w:rsidR="000358A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A7FF5" w:rsidRPr="00A942D5" w:rsidRDefault="002A7FF5" w:rsidP="002A7FF5">
      <w:pPr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A9D" w:rsidRDefault="00460A9D" w:rsidP="00E91B1F">
      <w:pPr>
        <w:ind w:firstLine="709"/>
      </w:pPr>
    </w:p>
    <w:p w:rsidR="008614CD" w:rsidRDefault="008614CD" w:rsidP="005B43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8614CD" w:rsidSect="00195134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4E" w:rsidRDefault="0049444E" w:rsidP="00E67BB7">
      <w:pPr>
        <w:spacing w:after="0" w:line="240" w:lineRule="auto"/>
      </w:pPr>
      <w:r>
        <w:separator/>
      </w:r>
    </w:p>
  </w:endnote>
  <w:endnote w:type="continuationSeparator" w:id="0">
    <w:p w:rsidR="0049444E" w:rsidRDefault="0049444E" w:rsidP="00E6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4E" w:rsidRDefault="0049444E" w:rsidP="00E67BB7">
      <w:pPr>
        <w:spacing w:after="0" w:line="240" w:lineRule="auto"/>
      </w:pPr>
      <w:r>
        <w:separator/>
      </w:r>
    </w:p>
  </w:footnote>
  <w:footnote w:type="continuationSeparator" w:id="0">
    <w:p w:rsidR="0049444E" w:rsidRDefault="0049444E" w:rsidP="00E6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A20"/>
    <w:multiLevelType w:val="hybridMultilevel"/>
    <w:tmpl w:val="C96CC65A"/>
    <w:lvl w:ilvl="0" w:tplc="2A16F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C23"/>
    <w:rsid w:val="0001299F"/>
    <w:rsid w:val="00033361"/>
    <w:rsid w:val="00033A84"/>
    <w:rsid w:val="000340CC"/>
    <w:rsid w:val="000358A1"/>
    <w:rsid w:val="00041777"/>
    <w:rsid w:val="0006348F"/>
    <w:rsid w:val="000725B5"/>
    <w:rsid w:val="00076956"/>
    <w:rsid w:val="000A0768"/>
    <w:rsid w:val="000B252D"/>
    <w:rsid w:val="000C1A3C"/>
    <w:rsid w:val="000E3A20"/>
    <w:rsid w:val="000F105E"/>
    <w:rsid w:val="000F6BC1"/>
    <w:rsid w:val="001022E6"/>
    <w:rsid w:val="00112444"/>
    <w:rsid w:val="00121D96"/>
    <w:rsid w:val="00123D41"/>
    <w:rsid w:val="0012433B"/>
    <w:rsid w:val="00135427"/>
    <w:rsid w:val="001441F2"/>
    <w:rsid w:val="00144624"/>
    <w:rsid w:val="001456AB"/>
    <w:rsid w:val="001512C9"/>
    <w:rsid w:val="00153A30"/>
    <w:rsid w:val="00172741"/>
    <w:rsid w:val="00176296"/>
    <w:rsid w:val="0018072B"/>
    <w:rsid w:val="00195134"/>
    <w:rsid w:val="001A0BCC"/>
    <w:rsid w:val="001C013F"/>
    <w:rsid w:val="001C23C4"/>
    <w:rsid w:val="001C43ED"/>
    <w:rsid w:val="001C47BE"/>
    <w:rsid w:val="001C496A"/>
    <w:rsid w:val="001C784A"/>
    <w:rsid w:val="001D26DC"/>
    <w:rsid w:val="001D4B04"/>
    <w:rsid w:val="001E003B"/>
    <w:rsid w:val="001E10E9"/>
    <w:rsid w:val="00203676"/>
    <w:rsid w:val="00222A06"/>
    <w:rsid w:val="00237E2A"/>
    <w:rsid w:val="002516A1"/>
    <w:rsid w:val="00263A75"/>
    <w:rsid w:val="00284515"/>
    <w:rsid w:val="0029480F"/>
    <w:rsid w:val="00294CA2"/>
    <w:rsid w:val="002A7FF5"/>
    <w:rsid w:val="002B2361"/>
    <w:rsid w:val="002B38C6"/>
    <w:rsid w:val="002B55CB"/>
    <w:rsid w:val="002C49FC"/>
    <w:rsid w:val="002F4BBF"/>
    <w:rsid w:val="00327900"/>
    <w:rsid w:val="00332A57"/>
    <w:rsid w:val="003506A7"/>
    <w:rsid w:val="003548EE"/>
    <w:rsid w:val="0037734D"/>
    <w:rsid w:val="003866DB"/>
    <w:rsid w:val="003B636B"/>
    <w:rsid w:val="003B6375"/>
    <w:rsid w:val="003B667D"/>
    <w:rsid w:val="003D5EE7"/>
    <w:rsid w:val="003D7344"/>
    <w:rsid w:val="003E0E79"/>
    <w:rsid w:val="003E79FF"/>
    <w:rsid w:val="00404B8E"/>
    <w:rsid w:val="004055E3"/>
    <w:rsid w:val="00407D1B"/>
    <w:rsid w:val="0042368C"/>
    <w:rsid w:val="0042731B"/>
    <w:rsid w:val="00430ACD"/>
    <w:rsid w:val="004460DF"/>
    <w:rsid w:val="00460A9D"/>
    <w:rsid w:val="00477F4C"/>
    <w:rsid w:val="00485BEE"/>
    <w:rsid w:val="0049444E"/>
    <w:rsid w:val="004945BD"/>
    <w:rsid w:val="004B5A81"/>
    <w:rsid w:val="004C1918"/>
    <w:rsid w:val="004D1917"/>
    <w:rsid w:val="004D3EB6"/>
    <w:rsid w:val="004E12E4"/>
    <w:rsid w:val="004E4BA6"/>
    <w:rsid w:val="004E5D5B"/>
    <w:rsid w:val="004F722B"/>
    <w:rsid w:val="00550E98"/>
    <w:rsid w:val="00552E1C"/>
    <w:rsid w:val="005541A5"/>
    <w:rsid w:val="00560E59"/>
    <w:rsid w:val="00570E58"/>
    <w:rsid w:val="00571545"/>
    <w:rsid w:val="00580C23"/>
    <w:rsid w:val="005A113F"/>
    <w:rsid w:val="005B431D"/>
    <w:rsid w:val="005B7B05"/>
    <w:rsid w:val="005C0CA7"/>
    <w:rsid w:val="005C2DBA"/>
    <w:rsid w:val="005E2C5D"/>
    <w:rsid w:val="005E3A9C"/>
    <w:rsid w:val="005F24A0"/>
    <w:rsid w:val="0066285F"/>
    <w:rsid w:val="00664D7F"/>
    <w:rsid w:val="00666316"/>
    <w:rsid w:val="00672798"/>
    <w:rsid w:val="006810D1"/>
    <w:rsid w:val="00683C37"/>
    <w:rsid w:val="006A1694"/>
    <w:rsid w:val="006B5F0D"/>
    <w:rsid w:val="006C2904"/>
    <w:rsid w:val="006E36E7"/>
    <w:rsid w:val="006E4F06"/>
    <w:rsid w:val="006F69B7"/>
    <w:rsid w:val="00714A01"/>
    <w:rsid w:val="0072574E"/>
    <w:rsid w:val="00734A16"/>
    <w:rsid w:val="007463D5"/>
    <w:rsid w:val="00747C29"/>
    <w:rsid w:val="00752FF2"/>
    <w:rsid w:val="0077399B"/>
    <w:rsid w:val="00797B14"/>
    <w:rsid w:val="007A52EE"/>
    <w:rsid w:val="007B4F77"/>
    <w:rsid w:val="007B7CCE"/>
    <w:rsid w:val="007D1C47"/>
    <w:rsid w:val="007D3829"/>
    <w:rsid w:val="007D4850"/>
    <w:rsid w:val="007E65DB"/>
    <w:rsid w:val="007F1C8B"/>
    <w:rsid w:val="007F434C"/>
    <w:rsid w:val="0083499A"/>
    <w:rsid w:val="00843012"/>
    <w:rsid w:val="008614CD"/>
    <w:rsid w:val="0087694B"/>
    <w:rsid w:val="008806E9"/>
    <w:rsid w:val="008A2C20"/>
    <w:rsid w:val="008B09E9"/>
    <w:rsid w:val="008D1BDD"/>
    <w:rsid w:val="008F6839"/>
    <w:rsid w:val="008F7D7E"/>
    <w:rsid w:val="009025A9"/>
    <w:rsid w:val="00906458"/>
    <w:rsid w:val="009114D0"/>
    <w:rsid w:val="009128F4"/>
    <w:rsid w:val="00916241"/>
    <w:rsid w:val="009173F5"/>
    <w:rsid w:val="009358CB"/>
    <w:rsid w:val="0094361D"/>
    <w:rsid w:val="009440FE"/>
    <w:rsid w:val="009540F7"/>
    <w:rsid w:val="009547AB"/>
    <w:rsid w:val="009606BF"/>
    <w:rsid w:val="0098282E"/>
    <w:rsid w:val="009A5FAC"/>
    <w:rsid w:val="009B0BE5"/>
    <w:rsid w:val="009D0A20"/>
    <w:rsid w:val="009E4E0B"/>
    <w:rsid w:val="009F697B"/>
    <w:rsid w:val="00A106BE"/>
    <w:rsid w:val="00A10F9D"/>
    <w:rsid w:val="00A1387E"/>
    <w:rsid w:val="00A1796C"/>
    <w:rsid w:val="00A230A1"/>
    <w:rsid w:val="00A35913"/>
    <w:rsid w:val="00A36B71"/>
    <w:rsid w:val="00A43D62"/>
    <w:rsid w:val="00A50616"/>
    <w:rsid w:val="00A51FBC"/>
    <w:rsid w:val="00A6407C"/>
    <w:rsid w:val="00A72993"/>
    <w:rsid w:val="00A77129"/>
    <w:rsid w:val="00A942D5"/>
    <w:rsid w:val="00AA485D"/>
    <w:rsid w:val="00B01C84"/>
    <w:rsid w:val="00B03454"/>
    <w:rsid w:val="00B11D58"/>
    <w:rsid w:val="00B12D9E"/>
    <w:rsid w:val="00B172C0"/>
    <w:rsid w:val="00B25CE1"/>
    <w:rsid w:val="00B32C9A"/>
    <w:rsid w:val="00B44C6A"/>
    <w:rsid w:val="00B54684"/>
    <w:rsid w:val="00B61C2C"/>
    <w:rsid w:val="00B91B3C"/>
    <w:rsid w:val="00BC3D8F"/>
    <w:rsid w:val="00BD13C4"/>
    <w:rsid w:val="00BE3B9A"/>
    <w:rsid w:val="00BE6540"/>
    <w:rsid w:val="00BF4A56"/>
    <w:rsid w:val="00C038DD"/>
    <w:rsid w:val="00C30346"/>
    <w:rsid w:val="00C41C49"/>
    <w:rsid w:val="00C611C6"/>
    <w:rsid w:val="00C80C59"/>
    <w:rsid w:val="00CA0ABE"/>
    <w:rsid w:val="00CB020B"/>
    <w:rsid w:val="00CB35F7"/>
    <w:rsid w:val="00CC0248"/>
    <w:rsid w:val="00CC5ABD"/>
    <w:rsid w:val="00CE5052"/>
    <w:rsid w:val="00CE5821"/>
    <w:rsid w:val="00CF3AF2"/>
    <w:rsid w:val="00D001CB"/>
    <w:rsid w:val="00D17FA1"/>
    <w:rsid w:val="00D27953"/>
    <w:rsid w:val="00D317B8"/>
    <w:rsid w:val="00D5009F"/>
    <w:rsid w:val="00D932A6"/>
    <w:rsid w:val="00D9411B"/>
    <w:rsid w:val="00DB3CDC"/>
    <w:rsid w:val="00DC315F"/>
    <w:rsid w:val="00DC4933"/>
    <w:rsid w:val="00DC699C"/>
    <w:rsid w:val="00DD4DAA"/>
    <w:rsid w:val="00DD6A29"/>
    <w:rsid w:val="00DF4E69"/>
    <w:rsid w:val="00E30C45"/>
    <w:rsid w:val="00E40004"/>
    <w:rsid w:val="00E56FD9"/>
    <w:rsid w:val="00E65DD2"/>
    <w:rsid w:val="00E67BB7"/>
    <w:rsid w:val="00E72067"/>
    <w:rsid w:val="00E75BA6"/>
    <w:rsid w:val="00E91B1F"/>
    <w:rsid w:val="00EA2118"/>
    <w:rsid w:val="00EE15B4"/>
    <w:rsid w:val="00EE69E9"/>
    <w:rsid w:val="00F26CC6"/>
    <w:rsid w:val="00F26D22"/>
    <w:rsid w:val="00F504B4"/>
    <w:rsid w:val="00F51A80"/>
    <w:rsid w:val="00F56F3B"/>
    <w:rsid w:val="00F62CFC"/>
    <w:rsid w:val="00F65968"/>
    <w:rsid w:val="00F71EB4"/>
    <w:rsid w:val="00F91A4E"/>
    <w:rsid w:val="00FA204E"/>
    <w:rsid w:val="00FA4AFF"/>
    <w:rsid w:val="00FB72D7"/>
    <w:rsid w:val="00FD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rsid w:val="001C23C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806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16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67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7B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7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38A36E7272ECEF46F0BA83F4502D5AF15720F388ADF9F38E4EE2FAABE2F37D68C7A02F6442401YA59M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2FE3-5842-4FA7-B366-48797205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Б. Лагачина</cp:lastModifiedBy>
  <cp:revision>2</cp:revision>
  <cp:lastPrinted>2016-08-12T07:37:00Z</cp:lastPrinted>
  <dcterms:created xsi:type="dcterms:W3CDTF">2021-09-02T12:33:00Z</dcterms:created>
  <dcterms:modified xsi:type="dcterms:W3CDTF">2021-09-02T12:33:00Z</dcterms:modified>
</cp:coreProperties>
</file>