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По тексту постановления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на слова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811812" w:rsidRPr="0006111A" w:rsidRDefault="0018670C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811812" w:rsidRPr="0006111A">
        <w:rPr>
          <w:sz w:val="28"/>
          <w:szCs w:val="28"/>
        </w:rPr>
        <w:t xml:space="preserve"> внести в муниципальную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="00811812" w:rsidRPr="0006111A">
        <w:rPr>
          <w:sz w:val="28"/>
          <w:szCs w:val="28"/>
        </w:rPr>
        <w:t>»</w:t>
      </w:r>
      <w:r w:rsidR="00572B95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(далее - Программа</w:t>
      </w:r>
      <w:r w:rsidR="00811812" w:rsidRPr="0006111A">
        <w:rPr>
          <w:b/>
          <w:sz w:val="28"/>
          <w:szCs w:val="28"/>
        </w:rPr>
        <w:t xml:space="preserve">), </w:t>
      </w:r>
      <w:r w:rsidR="00811812"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="00811812"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D93782" w:rsidRDefault="00D93782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C018D" w:rsidRPr="0006111A" w:rsidRDefault="00D93782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D218A" w:rsidRPr="0006111A">
        <w:rPr>
          <w:sz w:val="28"/>
          <w:szCs w:val="28"/>
        </w:rPr>
        <w:t>А.</w:t>
      </w:r>
      <w:r>
        <w:rPr>
          <w:sz w:val="28"/>
          <w:szCs w:val="28"/>
        </w:rPr>
        <w:t>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2A3313">
              <w:t>21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CF51B0">
            <w:pPr>
              <w:pStyle w:val="ConsPlusCell"/>
              <w:jc w:val="center"/>
              <w:rPr>
                <w:highlight w:val="yellow"/>
              </w:rPr>
            </w:pPr>
            <w:r w:rsidRPr="00CC4CC6">
              <w:t>34</w:t>
            </w:r>
            <w:r w:rsidR="00CF51B0">
              <w:t> 952,52245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F51B0">
            <w:pPr>
              <w:pStyle w:val="ConsPlusCell"/>
              <w:jc w:val="center"/>
            </w:pPr>
            <w:r>
              <w:t>2</w:t>
            </w:r>
            <w:r w:rsidR="00CF51B0">
              <w:t> 880,30545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BF5DA9">
            <w:pPr>
              <w:pStyle w:val="ConsPlusCell"/>
              <w:jc w:val="center"/>
              <w:rPr>
                <w:highlight w:val="yellow"/>
              </w:rPr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20572E">
            <w:pPr>
              <w:pStyle w:val="ConsPlusCell"/>
              <w:jc w:val="center"/>
            </w:pPr>
            <w:r>
              <w:t>1</w:t>
            </w:r>
            <w:r w:rsidR="0020572E">
              <w:t> 801,5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CF51B0">
            <w:pPr>
              <w:pStyle w:val="ConsPlusCell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47</w:t>
            </w:r>
            <w:r w:rsidR="00CF51B0">
              <w:rPr>
                <w:b/>
                <w:bCs/>
              </w:rPr>
              <w:t> 186,61645</w:t>
            </w:r>
            <w:r w:rsidR="000C72EB"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0572E" w:rsidP="00CF51B0">
            <w:pPr>
              <w:pStyle w:val="ConsPlusCell"/>
              <w:jc w:val="center"/>
            </w:pPr>
            <w:r>
              <w:t>4</w:t>
            </w:r>
            <w:r w:rsidR="00CF51B0">
              <w:t> 681,80545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20572E">
        <w:rPr>
          <w:b w:val="0"/>
          <w:bCs w:val="0"/>
        </w:rPr>
        <w:t>47</w:t>
      </w:r>
      <w:r w:rsidR="00CF51B0">
        <w:rPr>
          <w:b w:val="0"/>
          <w:bCs w:val="0"/>
        </w:rPr>
        <w:t> 186,61645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20572E">
        <w:t>4</w:t>
      </w:r>
      <w:r w:rsidR="00CF51B0">
        <w:t> 681,80545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20572E">
        <w:rPr>
          <w:sz w:val="28"/>
          <w:szCs w:val="28"/>
        </w:rPr>
        <w:t>8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BE75D2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2A099B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F51B0">
              <w:rPr>
                <w:sz w:val="20"/>
                <w:szCs w:val="20"/>
              </w:rPr>
              <w:t> 123,89245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1B0">
              <w:rPr>
                <w:sz w:val="20"/>
                <w:szCs w:val="20"/>
              </w:rPr>
              <w:t> 871,24745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5B4F6F">
              <w:rPr>
                <w:sz w:val="20"/>
                <w:szCs w:val="20"/>
              </w:rPr>
              <w:t>994</w:t>
            </w:r>
            <w:r w:rsidRPr="0075591D">
              <w:rPr>
                <w:sz w:val="20"/>
                <w:szCs w:val="20"/>
              </w:rPr>
              <w:t xml:space="preserve"> 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F51B0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1069,74745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софинансирование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CF51B0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3009,29352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8E2C2A" w:rsidRPr="00D62C2D" w:rsidRDefault="0004663C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890,64352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9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1359F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048E" w:rsidRPr="004626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5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CF51B0" w:rsidP="00900ABB">
            <w:pPr>
              <w:jc w:val="center"/>
              <w:rPr>
                <w:sz w:val="20"/>
                <w:szCs w:val="20"/>
              </w:rPr>
            </w:pPr>
            <w:r w:rsidRPr="00CF51B0">
              <w:rPr>
                <w:sz w:val="20"/>
                <w:szCs w:val="20"/>
              </w:rPr>
              <w:t>79,10393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2A099B" w:rsidP="002A09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12 234</w:t>
            </w:r>
            <w:r w:rsidR="00323B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2A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2A099B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>.</w:t>
            </w:r>
            <w:r w:rsidR="002A099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</w:t>
            </w:r>
            <w:r>
              <w:rPr>
                <w:sz w:val="18"/>
                <w:szCs w:val="18"/>
              </w:rPr>
              <w:lastRenderedPageBreak/>
              <w:t>кая область, Кировский район, д.Березовка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BE75D2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6" w:rsidRDefault="00323BBC" w:rsidP="008D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Pr="00035BBF" w:rsidRDefault="008D6644" w:rsidP="008D6644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</w:t>
            </w:r>
            <w:r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F51B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47186,61645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4 681,80545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E45BE6">
        <w:rPr>
          <w:sz w:val="28"/>
          <w:szCs w:val="28"/>
        </w:rPr>
        <w:t>8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E45BE6"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CF51B0">
              <w:rPr>
                <w:sz w:val="20"/>
                <w:szCs w:val="20"/>
              </w:rPr>
              <w:t>12 234,094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8D6644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5B4F6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2,02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B4F6F">
              <w:rPr>
                <w:sz w:val="20"/>
                <w:szCs w:val="20"/>
              </w:rPr>
              <w:t>1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5B4F6F">
        <w:rPr>
          <w:sz w:val="28"/>
          <w:szCs w:val="28"/>
        </w:rPr>
        <w:t>8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5B4F6F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B4F6F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12 234,094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CF51B0">
              <w:rPr>
                <w:sz w:val="20"/>
                <w:szCs w:val="20"/>
              </w:rPr>
              <w:t>1069,74745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5B4F6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</w:t>
            </w:r>
            <w:r w:rsidR="005B4F6F">
              <w:rPr>
                <w:sz w:val="20"/>
                <w:szCs w:val="20"/>
              </w:rPr>
              <w:t>1 801,5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AC" w:rsidRDefault="00BC19AC" w:rsidP="00303D50">
      <w:r>
        <w:separator/>
      </w:r>
    </w:p>
  </w:endnote>
  <w:endnote w:type="continuationSeparator" w:id="1">
    <w:p w:rsidR="00BC19AC" w:rsidRDefault="00BC19AC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AC" w:rsidRDefault="00BC19AC" w:rsidP="00303D50">
      <w:r>
        <w:separator/>
      </w:r>
    </w:p>
  </w:footnote>
  <w:footnote w:type="continuationSeparator" w:id="1">
    <w:p w:rsidR="00BC19AC" w:rsidRDefault="00BC19AC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0965"/>
    <w:rsid w:val="00087128"/>
    <w:rsid w:val="000932C3"/>
    <w:rsid w:val="00094778"/>
    <w:rsid w:val="00094DB7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5648"/>
    <w:rsid w:val="000F5B47"/>
    <w:rsid w:val="00100120"/>
    <w:rsid w:val="00103829"/>
    <w:rsid w:val="00107181"/>
    <w:rsid w:val="00107B9A"/>
    <w:rsid w:val="00117014"/>
    <w:rsid w:val="001205F7"/>
    <w:rsid w:val="001341B7"/>
    <w:rsid w:val="001359F0"/>
    <w:rsid w:val="001429EB"/>
    <w:rsid w:val="001433BD"/>
    <w:rsid w:val="001462A6"/>
    <w:rsid w:val="00146C5B"/>
    <w:rsid w:val="00150627"/>
    <w:rsid w:val="00162479"/>
    <w:rsid w:val="001647DB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72E"/>
    <w:rsid w:val="00205DA4"/>
    <w:rsid w:val="0021198C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2F0D12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7549"/>
    <w:rsid w:val="005F2206"/>
    <w:rsid w:val="006034DE"/>
    <w:rsid w:val="00605CE5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51879"/>
    <w:rsid w:val="00854175"/>
    <w:rsid w:val="00864ABB"/>
    <w:rsid w:val="00873E32"/>
    <w:rsid w:val="00874E8E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654B2"/>
    <w:rsid w:val="00A70F89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C19AC"/>
    <w:rsid w:val="00BD2468"/>
    <w:rsid w:val="00BD6C49"/>
    <w:rsid w:val="00BE08B5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809"/>
    <w:rsid w:val="00CD0CD8"/>
    <w:rsid w:val="00CD6992"/>
    <w:rsid w:val="00CE0F0A"/>
    <w:rsid w:val="00CF51B0"/>
    <w:rsid w:val="00D0307D"/>
    <w:rsid w:val="00D04393"/>
    <w:rsid w:val="00D213BF"/>
    <w:rsid w:val="00D2184F"/>
    <w:rsid w:val="00D24745"/>
    <w:rsid w:val="00D247EE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DED"/>
    <w:rsid w:val="00E366D0"/>
    <w:rsid w:val="00E404AE"/>
    <w:rsid w:val="00E44BA9"/>
    <w:rsid w:val="00E45427"/>
    <w:rsid w:val="00E45BE6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35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2F20"/>
    <w:rsid w:val="00F83A1D"/>
    <w:rsid w:val="00F86814"/>
    <w:rsid w:val="00F9308C"/>
    <w:rsid w:val="00F931E4"/>
    <w:rsid w:val="00F94536"/>
    <w:rsid w:val="00FA3363"/>
    <w:rsid w:val="00FB0538"/>
    <w:rsid w:val="00FB0590"/>
    <w:rsid w:val="00FB3283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2E6-084A-4117-A189-C993B6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2018-08-21T09:10:00Z</cp:lastPrinted>
  <dcterms:created xsi:type="dcterms:W3CDTF">2019-02-26T14:27:00Z</dcterms:created>
  <dcterms:modified xsi:type="dcterms:W3CDTF">2019-02-26T14:27:00Z</dcterms:modified>
</cp:coreProperties>
</file>