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7" w:type="pct"/>
        <w:tblCellSpacing w:w="15" w:type="dxa"/>
        <w:tblCellMar>
          <w:top w:w="15" w:type="dxa"/>
          <w:left w:w="125" w:type="dxa"/>
          <w:bottom w:w="15" w:type="dxa"/>
          <w:right w:w="15" w:type="dxa"/>
        </w:tblCellMar>
        <w:tblLook w:val="04A0"/>
      </w:tblPr>
      <w:tblGrid>
        <w:gridCol w:w="9420"/>
      </w:tblGrid>
      <w:tr w:rsidR="00F86EE1" w:rsidRPr="00640CF9" w:rsidTr="00EF4835">
        <w:trPr>
          <w:trHeight w:val="764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EE1" w:rsidRPr="00640CF9" w:rsidRDefault="00640CF9" w:rsidP="0064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20"/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широкая и глу</w:t>
            </w:r>
            <w:r w:rsidR="00D9740D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бокая река. Средняя ширина 400-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Самые широкие места (1000</w:t>
            </w:r>
            <w:r w:rsidR="00B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 в дельте у Невских ворот Морского торгового порта</w:t>
            </w:r>
            <w:r w:rsidR="00D9740D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 называемой воронке рукава Большая Нева, у окончания Ивановских порогов при впадении реки 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Тосно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 острова </w:t>
            </w:r>
            <w:r w:rsidR="00D9740D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</w:t>
            </w:r>
            <w:r w:rsidR="00D9740D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 истока. Средняя глубина 8-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м; наибольшая глубина (24м)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выше Литейного моста в </w:t>
            </w:r>
            <w:proofErr w:type="spellStart"/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Смольнинской</w:t>
            </w:r>
            <w:proofErr w:type="spellEnd"/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излучине у правого берега, напротив Арсенальной улицы, наименьшая (4,0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4,5м)</w:t>
            </w:r>
            <w:r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Ивановских порогах.</w:t>
            </w:r>
          </w:p>
          <w:p w:rsidR="00F86EE1" w:rsidRPr="00640CF9" w:rsidRDefault="00640CF9" w:rsidP="0064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Неву в Финский залив поступает вода с площади бассейна Ладожского озера. Площадь собственного бассейна Невы составляет 5 тыс. км, включая бассейн Ладожского озера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- 281 тыс. км. На этой территории осадки значительно превышают испарение: на него идёт лишь 37,7%, а на суммарный сток реки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- 62,3%.</w:t>
            </w:r>
          </w:p>
          <w:p w:rsidR="00640CF9" w:rsidRDefault="00640CF9" w:rsidP="00640CF9">
            <w:pPr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равномерного стока воды из Ладожского озера у Невы в течение всего года не бывает весеннего подъёма воды и паводков. Замерзает Нева на всём протяжении. Средние сроки замерзания Невы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декада декабря, а вскрытия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декада апреля. Толщина льда 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D1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 черте Санкт-Петербурга, и 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0,6м за его пределами. </w:t>
            </w:r>
          </w:p>
          <w:p w:rsidR="00285435" w:rsidRDefault="00640CF9" w:rsidP="00640CF9">
            <w:pPr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86EE1" w:rsidRPr="00640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 верхнем течении Невы зимой иногда возникают зажоры и заторы льда, из-за этого выше по течению происходят наводнения.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общего объёма льда Ладожского озера (10,6 км) в Неву выносится не более 5%.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86EE1" w:rsidRPr="00640CF9" w:rsidRDefault="00640CF9" w:rsidP="00640CF9">
            <w:pPr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8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  <w:r w:rsidR="00F86EE1" w:rsidRPr="0064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Объём стока основных гидрологических величин Невы (средний год, в скобках указан процент от годового значения)</w:t>
            </w:r>
          </w:p>
          <w:tbl>
            <w:tblPr>
              <w:tblW w:w="93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9"/>
              <w:gridCol w:w="1560"/>
              <w:gridCol w:w="1725"/>
              <w:gridCol w:w="1700"/>
              <w:gridCol w:w="1596"/>
              <w:gridCol w:w="1210"/>
            </w:tblGrid>
            <w:tr w:rsidR="00EF4835" w:rsidRPr="00640CF9" w:rsidTr="00EF4835">
              <w:trPr>
                <w:trHeight w:val="550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Величина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апреля по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июля по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октября по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декабря по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за</w:t>
                  </w:r>
                  <w:r w:rsid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EF4835" w:rsidRPr="00640CF9" w:rsidTr="00EF4835">
              <w:trPr>
                <w:trHeight w:val="550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Сток воды, </w:t>
                  </w:r>
                  <w:proofErr w:type="gramStart"/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22,7 (28,5%)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23,5 (29,4%)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14,1 (17,7%)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19,4 (24,4%)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79,7</w:t>
                  </w:r>
                </w:p>
              </w:tc>
            </w:tr>
            <w:tr w:rsidR="00EF4835" w:rsidRPr="00640CF9" w:rsidTr="00EF4835">
              <w:trPr>
                <w:trHeight w:val="538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Сток льда, </w:t>
                  </w:r>
                  <w:proofErr w:type="gramStart"/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0,57 (81,4%)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0,13 (18,6%)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auto"/>
                  </w:tcBorders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F86EE1" w:rsidRPr="00640CF9" w:rsidRDefault="00F86EE1" w:rsidP="00640CF9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bookmarkEnd w:id="0"/>
          </w:tbl>
          <w:p w:rsidR="00F86EE1" w:rsidRPr="00640CF9" w:rsidRDefault="00F86EE1" w:rsidP="00640CF9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  <w:tr w:rsidR="00640CF9" w:rsidRPr="00640CF9" w:rsidTr="00EF4835">
        <w:trPr>
          <w:trHeight w:val="3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CF9" w:rsidRPr="00640CF9" w:rsidRDefault="00640CF9" w:rsidP="0064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61E4" w:rsidRDefault="00F86EE1" w:rsidP="0064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r w:rsidR="00640CF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     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В связи с тем, что р. Нева питается относительно теплыми в осенний период водами Ладожского озера, ледовые явления на ней начинаются позднее, чем на других реках региона. Процесс замерзания р. Невы </w:t>
      </w:r>
      <w:proofErr w:type="gramStart"/>
      <w:r w:rsidR="002B09F5" w:rsidRPr="00640CF9">
        <w:rPr>
          <w:rFonts w:ascii="Times New Roman" w:hAnsi="Times New Roman" w:cs="Times New Roman"/>
          <w:sz w:val="24"/>
          <w:szCs w:val="24"/>
        </w:rPr>
        <w:t>начинается после охлаждения поверхности воды до температуры 0ºС. Затем образуются</w:t>
      </w:r>
      <w:proofErr w:type="gram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сало и забереги. Откалываясь от берегов, забереги уносятся течением. Вскоре наступает осенний ледоход. Характерным для р. Невы является разнородность состава сплывающего по реке ледяного материала: темная рыхлая шуга (сбитые течением в комья массы внутриводного льда), плотная шуга грязно-коричневого цвета (всплывший на поверхность донный лед), речной лед и льдины, вынесенные течением из Шлиссельбургской губы Ладожского озера. </w:t>
      </w:r>
    </w:p>
    <w:p w:rsidR="001561E4" w:rsidRDefault="001561E4" w:rsidP="0064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B09F5" w:rsidRPr="00640CF9">
        <w:rPr>
          <w:rFonts w:ascii="Times New Roman" w:hAnsi="Times New Roman" w:cs="Times New Roman"/>
          <w:sz w:val="24"/>
          <w:szCs w:val="24"/>
        </w:rPr>
        <w:t>В период осеннего ледохода лед имеет толщину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>6 см. Наиболее интенсивно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F5" w:rsidRPr="00640CF9">
        <w:rPr>
          <w:rFonts w:ascii="Times New Roman" w:hAnsi="Times New Roman" w:cs="Times New Roman"/>
          <w:sz w:val="24"/>
          <w:szCs w:val="24"/>
        </w:rPr>
        <w:t>шугообразование</w:t>
      </w:r>
      <w:proofErr w:type="spell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происходит при температуре воздуха – 4..–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>6 ºС. Ледоход сравнительно быстро завершается ледоставом, продвижение которого происходит всегда в одной и той же последовательности: после нескольких дней интенсивного ледохода и образования припая в Невской губе ледостав образуется в устье реки, после чего он распространяется вверх по течению за счет</w:t>
      </w:r>
      <w:proofErr w:type="gram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прибывающего льда. При достаточно холодной погоде (8.. 12 ºС) и поступлении ладожского льда верхняя кромка ледостава интенсивно продвигается вверх. Наступившая оттепель может вызвать подвижки льда и обратное движение кромки ледостава. Темп замерзания реки в черте города зависит от густоты поступающего ладожского льда и от продолжительности ледохода, в среднем составляющей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11 дней, но изменяющейся в широком диапазоне – от 1 до 50 дней. При редком и среднем ледоходе продолжительность образования ледостава составляет </w:t>
      </w:r>
      <w:r w:rsidR="002B09F5" w:rsidRPr="001561E4">
        <w:rPr>
          <w:rFonts w:ascii="Times New Roman" w:hAnsi="Times New Roman" w:cs="Times New Roman"/>
          <w:sz w:val="24"/>
          <w:szCs w:val="24"/>
        </w:rPr>
        <w:t>5</w:t>
      </w:r>
      <w:r w:rsidRPr="001561E4">
        <w:rPr>
          <w:rFonts w:ascii="Times New Roman" w:hAnsi="Times New Roman" w:cs="Times New Roman"/>
          <w:sz w:val="24"/>
          <w:szCs w:val="24"/>
        </w:rPr>
        <w:t xml:space="preserve"> -</w:t>
      </w:r>
      <w:r w:rsidR="002B09F5" w:rsidRPr="001561E4">
        <w:rPr>
          <w:rFonts w:ascii="Times New Roman" w:hAnsi="Times New Roman" w:cs="Times New Roman"/>
          <w:sz w:val="24"/>
          <w:szCs w:val="24"/>
        </w:rPr>
        <w:t xml:space="preserve"> 7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 дней. При густом ледоходе нижняя часть реки может встать за 1 сутки. Скорость прохождения льда от Шлиссельбурга до черты города около 20 часов. </w:t>
      </w:r>
    </w:p>
    <w:p w:rsidR="001561E4" w:rsidRDefault="001561E4" w:rsidP="0064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B09F5" w:rsidRPr="00640CF9">
        <w:rPr>
          <w:rFonts w:ascii="Times New Roman" w:hAnsi="Times New Roman" w:cs="Times New Roman"/>
          <w:sz w:val="24"/>
          <w:szCs w:val="24"/>
        </w:rPr>
        <w:t>Для равномерного поступления льда в Неву необходимо, чтобы в Шлиссельбургской губе было достаточно плавучего льда и наблюдались бы ветра</w:t>
      </w:r>
      <w:proofErr w:type="gramStart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В четверти, ветра остальных румбов отжимают лед. Обычно р. Нева замерзает скачкообразно. Кромка ледяного покрова то продвигается вверх по течению, то останавливается и смещается вниз из-за колебаний температуры воздуха и изменений густоты речного и озерного ледохода.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61E4" w:rsidRDefault="002B09F5" w:rsidP="0064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9">
        <w:rPr>
          <w:rFonts w:ascii="Times New Roman" w:hAnsi="Times New Roman" w:cs="Times New Roman"/>
          <w:sz w:val="24"/>
          <w:szCs w:val="24"/>
        </w:rPr>
        <w:t xml:space="preserve">Продолжительность ледостава на участке р. Невы в среднем составляет 122 дня. </w:t>
      </w:r>
    </w:p>
    <w:p w:rsidR="003644DD" w:rsidRDefault="001561E4" w:rsidP="0064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9F5" w:rsidRPr="00640CF9">
        <w:rPr>
          <w:rFonts w:ascii="Times New Roman" w:hAnsi="Times New Roman" w:cs="Times New Roman"/>
          <w:sz w:val="24"/>
          <w:szCs w:val="24"/>
        </w:rPr>
        <w:t>Особенности замерзания р. Невы, во время которого кромка ледостава продвигается вверх по течению, способствуют образованию шуги и внутриводного льда.</w:t>
      </w:r>
      <w:r w:rsidR="00D10C4D"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Таким образом, для образования внутриводного льда вода должна непременно иметь температуру ниже температуры замерзания (кристаллизации), то есть быть переохлажденной, а температура льда должна быть равна температуре кристаллизации. В этих условиях на поверхности воды возникают начальные формы ледяных образований в виде игл или пластинок (поверхностные формы льда в виде сала и заберегов образуются, как правило, если при положительной температуре воды наступает резкое похолодание). </w:t>
      </w:r>
      <w:r w:rsidR="003644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3D99" w:rsidRDefault="003644DD" w:rsidP="0064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0CF9">
        <w:rPr>
          <w:rFonts w:ascii="Times New Roman" w:hAnsi="Times New Roman" w:cs="Times New Roman"/>
          <w:sz w:val="24"/>
          <w:szCs w:val="24"/>
        </w:rPr>
        <w:t xml:space="preserve">Шуга, перемещаемая течением реки от левого к правому берегу, способно осложнить эксплуатацию проектируемых водозаборов ГВС, которые планируется разместить у правого берега выше по течению от устья р. Б. </w:t>
      </w:r>
      <w:proofErr w:type="spellStart"/>
      <w:r w:rsidRPr="00640CF9"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 w:rsidRPr="00640CF9">
        <w:rPr>
          <w:rFonts w:ascii="Times New Roman" w:hAnsi="Times New Roman" w:cs="Times New Roman"/>
          <w:sz w:val="24"/>
          <w:szCs w:val="24"/>
        </w:rPr>
        <w:t xml:space="preserve">. Зажор в нижнем течении р. Невы рассасывается сам. Ни взрывных, ни каких-либо других видов работ производить не надо. Опыт </w:t>
      </w:r>
      <w:proofErr w:type="spellStart"/>
      <w:r w:rsidRPr="00640CF9">
        <w:rPr>
          <w:rFonts w:ascii="Times New Roman" w:hAnsi="Times New Roman" w:cs="Times New Roman"/>
          <w:sz w:val="24"/>
          <w:szCs w:val="24"/>
        </w:rPr>
        <w:t>зажорной</w:t>
      </w:r>
      <w:proofErr w:type="spellEnd"/>
      <w:r w:rsidRPr="00640CF9">
        <w:rPr>
          <w:rFonts w:ascii="Times New Roman" w:hAnsi="Times New Roman" w:cs="Times New Roman"/>
          <w:sz w:val="24"/>
          <w:szCs w:val="24"/>
        </w:rPr>
        <w:t xml:space="preserve"> службы показывает, что любое вмешательство вед</w:t>
      </w:r>
      <w:r w:rsidRPr="00640CF9">
        <w:rPr>
          <w:rFonts w:cs="Times New Roman"/>
          <w:sz w:val="24"/>
          <w:szCs w:val="24"/>
        </w:rPr>
        <w:t>ѐ</w:t>
      </w:r>
      <w:r w:rsidRPr="00640CF9">
        <w:rPr>
          <w:rFonts w:ascii="Times New Roman" w:hAnsi="Times New Roman" w:cs="Times New Roman"/>
          <w:sz w:val="24"/>
          <w:szCs w:val="24"/>
        </w:rPr>
        <w:t xml:space="preserve">т на этом участке лишь к дополнительным подвижкам льда, росту уровней и уплотнению </w:t>
      </w:r>
      <w:proofErr w:type="spellStart"/>
      <w:r w:rsidRPr="00640CF9">
        <w:rPr>
          <w:rFonts w:ascii="Times New Roman" w:hAnsi="Times New Roman" w:cs="Times New Roman"/>
          <w:sz w:val="24"/>
          <w:szCs w:val="24"/>
        </w:rPr>
        <w:t>шуго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F9">
        <w:rPr>
          <w:rFonts w:ascii="Times New Roman" w:hAnsi="Times New Roman" w:cs="Times New Roman"/>
          <w:sz w:val="24"/>
          <w:szCs w:val="24"/>
        </w:rPr>
        <w:t>ледяной массы.</w:t>
      </w:r>
    </w:p>
    <w:p w:rsidR="003A3D99" w:rsidRDefault="003A3D99" w:rsidP="0064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9F5" w:rsidRPr="00640CF9">
        <w:rPr>
          <w:rFonts w:ascii="Times New Roman" w:hAnsi="Times New Roman" w:cs="Times New Roman"/>
          <w:sz w:val="24"/>
          <w:szCs w:val="24"/>
        </w:rPr>
        <w:t>Прямолинейные участки со значительными скоростями течения и ровным ледяным покровом шуга, как правило, проходит транзитом. Когда морфометрические и гидравлические характеристики по длине реки неоднородны, происходит перераспределение скорости потока по его глубине и ширине и, соответственно, изменяется его транспортирующая способность. Уменьшение транспортирующей способности потока приводит к отложению шуги под ледовым покровом, в результате чего образуется зажор — скопление шуги с включением мелкобитого льда, вызывающее стеснение живого сечения русла. На р. Неве зажоры образуются почти ежегодно. Мощные устойчивые зажоры отмечались в многоводные годы при высоком стоянии уровней воды Ладожского озера в осенний период (</w:t>
      </w:r>
      <w:r>
        <w:rPr>
          <w:rFonts w:ascii="Times New Roman" w:hAnsi="Times New Roman" w:cs="Times New Roman"/>
          <w:sz w:val="24"/>
          <w:szCs w:val="24"/>
        </w:rPr>
        <w:t>выше 4,40 м БС у Шлиссельбурга)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, следовательно, и большом расходе воды, определяющем повышенную скорость течения. Речной и ладожский лед при температуре воздуха –4..–6 ºC смерзается плохо. По этой причине в формировании зажора принимает участие практически весь поступающий к кромке ледостава </w:t>
      </w:r>
      <w:proofErr w:type="spellStart"/>
      <w:r w:rsidR="002B09F5" w:rsidRPr="00640CF9">
        <w:rPr>
          <w:rFonts w:ascii="Times New Roman" w:hAnsi="Times New Roman" w:cs="Times New Roman"/>
          <w:sz w:val="24"/>
          <w:szCs w:val="24"/>
        </w:rPr>
        <w:t>шуголедяной</w:t>
      </w:r>
      <w:proofErr w:type="spell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материал. </w:t>
      </w:r>
    </w:p>
    <w:p w:rsidR="00640CF9" w:rsidRPr="00640CF9" w:rsidRDefault="003A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Локальные </w:t>
      </w:r>
      <w:proofErr w:type="spellStart"/>
      <w:r w:rsidR="002B09F5" w:rsidRPr="00640CF9">
        <w:rPr>
          <w:rFonts w:ascii="Times New Roman" w:hAnsi="Times New Roman" w:cs="Times New Roman"/>
          <w:sz w:val="24"/>
          <w:szCs w:val="24"/>
        </w:rPr>
        <w:t>зажорные</w:t>
      </w:r>
      <w:proofErr w:type="spell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явления на р. Неве в нижнем течении реки размещается на участке Литейный мост – </w:t>
      </w:r>
      <w:proofErr w:type="gramStart"/>
      <w:r w:rsidR="002B09F5" w:rsidRPr="00640CF9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(7,8 – 45 км от устья). В местах сброса т</w:t>
      </w:r>
      <w:r w:rsidR="002B09F5" w:rsidRPr="00640CF9">
        <w:rPr>
          <w:rFonts w:cs="Times New Roman"/>
          <w:sz w:val="24"/>
          <w:szCs w:val="24"/>
        </w:rPr>
        <w:t>ѐ</w:t>
      </w:r>
      <w:r w:rsidR="002B09F5" w:rsidRPr="00640CF9">
        <w:rPr>
          <w:rFonts w:ascii="Times New Roman" w:hAnsi="Times New Roman" w:cs="Times New Roman"/>
          <w:sz w:val="24"/>
          <w:szCs w:val="24"/>
        </w:rPr>
        <w:t>плых вод (ГРЭС</w:t>
      </w:r>
      <w:r w:rsidR="00EF4835">
        <w:rPr>
          <w:rFonts w:ascii="Times New Roman" w:hAnsi="Times New Roman" w:cs="Times New Roman"/>
          <w:sz w:val="24"/>
          <w:szCs w:val="24"/>
        </w:rPr>
        <w:t xml:space="preserve"> - </w:t>
      </w:r>
      <w:r w:rsidR="002B09F5" w:rsidRPr="00640CF9">
        <w:rPr>
          <w:rFonts w:ascii="Times New Roman" w:hAnsi="Times New Roman" w:cs="Times New Roman"/>
          <w:sz w:val="24"/>
          <w:szCs w:val="24"/>
        </w:rPr>
        <w:t>8) часто наблюдаются искусственные полыньи и промоины, обычно в виде сравнительно узких полос воды вдоль берегов. Большая Нева от устья до Благовещенского моста часто вскрывается ледоколами, и значительные по площади участки открытой воды распространяются в т</w:t>
      </w:r>
      <w:r w:rsidR="002B09F5" w:rsidRPr="00640CF9">
        <w:rPr>
          <w:rFonts w:cs="Times New Roman"/>
          <w:sz w:val="24"/>
          <w:szCs w:val="24"/>
        </w:rPr>
        <w:t>ѐ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плую зиму до Троицкого моста и даже </w:t>
      </w:r>
      <w:proofErr w:type="gramStart"/>
      <w:r w:rsidR="002B09F5" w:rsidRPr="00640C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с. Рыбацкого. Ледостав в нижнем течении реки неровный, </w:t>
      </w:r>
      <w:proofErr w:type="spellStart"/>
      <w:r w:rsidR="002B09F5" w:rsidRPr="00640CF9">
        <w:rPr>
          <w:rFonts w:ascii="Times New Roman" w:hAnsi="Times New Roman" w:cs="Times New Roman"/>
          <w:sz w:val="24"/>
          <w:szCs w:val="24"/>
        </w:rPr>
        <w:t>сторошенный</w:t>
      </w:r>
      <w:proofErr w:type="spellEnd"/>
      <w:r w:rsidR="002B09F5" w:rsidRPr="00640CF9">
        <w:rPr>
          <w:rFonts w:ascii="Times New Roman" w:hAnsi="Times New Roman" w:cs="Times New Roman"/>
          <w:sz w:val="24"/>
          <w:szCs w:val="24"/>
        </w:rPr>
        <w:t>, непрочный. При частых перепадах температуры воздуха до 0</w:t>
      </w:r>
      <w:proofErr w:type="gramStart"/>
      <w:r w:rsidR="002B09F5" w:rsidRPr="00640CF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34DCD"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и выше прочность его резко уменьшается. Ниже впадения р. Б. </w:t>
      </w:r>
      <w:proofErr w:type="spellStart"/>
      <w:r w:rsidR="002B09F5" w:rsidRPr="00640CF9"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 w:rsidR="002B09F5" w:rsidRPr="00640CF9">
        <w:rPr>
          <w:rFonts w:ascii="Times New Roman" w:hAnsi="Times New Roman" w:cs="Times New Roman"/>
          <w:sz w:val="24"/>
          <w:szCs w:val="24"/>
        </w:rPr>
        <w:t xml:space="preserve"> Нева круто поворачивает на запад, происходит изменение направления течения: оно отжимается от левого к правому берегу. На этом же участке русло реки искусственно сужено в результате строительства Смольной и Свердловской набережных с широким дорожным полотном вдоль правого и левого берегов. Эти обстоятельства привели к возрастанию скоростей течения. Поэтому здесь при образовании ледостава через 3</w:t>
      </w:r>
      <w:r w:rsidR="00EF4835"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>-</w:t>
      </w:r>
      <w:r w:rsidR="00EF4835">
        <w:rPr>
          <w:rFonts w:ascii="Times New Roman" w:hAnsi="Times New Roman" w:cs="Times New Roman"/>
          <w:sz w:val="24"/>
          <w:szCs w:val="24"/>
        </w:rPr>
        <w:t xml:space="preserve"> </w:t>
      </w:r>
      <w:r w:rsidR="002B09F5" w:rsidRPr="00640CF9">
        <w:rPr>
          <w:rFonts w:ascii="Times New Roman" w:hAnsi="Times New Roman" w:cs="Times New Roman"/>
          <w:sz w:val="24"/>
          <w:szCs w:val="24"/>
        </w:rPr>
        <w:t>4 недели начинает формироваться промоина. Размеры промоины колеблются в зависимости от характера зимы: в суровую зиму протяж</w:t>
      </w:r>
      <w:r w:rsidR="002B09F5" w:rsidRPr="00640CF9">
        <w:rPr>
          <w:rFonts w:cs="Times New Roman"/>
          <w:sz w:val="24"/>
          <w:szCs w:val="24"/>
        </w:rPr>
        <w:t>ѐ</w:t>
      </w:r>
      <w:r w:rsidR="002B09F5" w:rsidRPr="00640CF9">
        <w:rPr>
          <w:rFonts w:ascii="Times New Roman" w:hAnsi="Times New Roman" w:cs="Times New Roman"/>
          <w:sz w:val="24"/>
          <w:szCs w:val="24"/>
        </w:rPr>
        <w:t xml:space="preserve">нность промоины уменьшается до 100 м или промоина затягивается льдом. В мягкие зимы длина промоины увеличивается до 500 м и более. При обширных размерах промоины в ней образуется шуга. </w:t>
      </w:r>
    </w:p>
    <w:sectPr w:rsidR="00640CF9" w:rsidRPr="00640CF9" w:rsidSect="00D10C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EE1"/>
    <w:rsid w:val="001561E4"/>
    <w:rsid w:val="00285435"/>
    <w:rsid w:val="002B09F5"/>
    <w:rsid w:val="002F29CD"/>
    <w:rsid w:val="00337E8D"/>
    <w:rsid w:val="003644DD"/>
    <w:rsid w:val="003A3D99"/>
    <w:rsid w:val="00640CF9"/>
    <w:rsid w:val="0067319F"/>
    <w:rsid w:val="00734DCD"/>
    <w:rsid w:val="00844E5B"/>
    <w:rsid w:val="00B121E8"/>
    <w:rsid w:val="00C02F8F"/>
    <w:rsid w:val="00C7651C"/>
    <w:rsid w:val="00D10C4D"/>
    <w:rsid w:val="00D54924"/>
    <w:rsid w:val="00D9740D"/>
    <w:rsid w:val="00EF4835"/>
    <w:rsid w:val="00F8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EE1"/>
    <w:pPr>
      <w:spacing w:before="100" w:beforeAutospacing="1" w:after="100" w:afterAutospacing="1" w:line="240" w:lineRule="auto"/>
      <w:ind w:firstLine="188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F8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9267">
      <w:bodyDiv w:val="1"/>
      <w:marLeft w:val="0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gavronov_sl</dc:creator>
  <cp:lastModifiedBy>kytovoi_av</cp:lastModifiedBy>
  <cp:revision>3</cp:revision>
  <dcterms:created xsi:type="dcterms:W3CDTF">2018-02-06T12:42:00Z</dcterms:created>
  <dcterms:modified xsi:type="dcterms:W3CDTF">2018-02-06T12:55:00Z</dcterms:modified>
</cp:coreProperties>
</file>