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5F" w:rsidRDefault="00C952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525F" w:rsidRDefault="00C9525F">
      <w:pPr>
        <w:pStyle w:val="ConsPlusNormal"/>
        <w:outlineLvl w:val="0"/>
      </w:pPr>
    </w:p>
    <w:p w:rsidR="00C9525F" w:rsidRDefault="00C9525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9525F" w:rsidRDefault="00C9525F">
      <w:pPr>
        <w:pStyle w:val="ConsPlusTitle"/>
        <w:jc w:val="center"/>
      </w:pPr>
    </w:p>
    <w:p w:rsidR="00C9525F" w:rsidRDefault="00C9525F">
      <w:pPr>
        <w:pStyle w:val="ConsPlusTitle"/>
        <w:jc w:val="center"/>
      </w:pPr>
      <w:r>
        <w:t>ПОСТАНОВЛЕНИЕ</w:t>
      </w:r>
    </w:p>
    <w:p w:rsidR="00C9525F" w:rsidRDefault="00C9525F">
      <w:pPr>
        <w:pStyle w:val="ConsPlusTitle"/>
        <w:jc w:val="center"/>
      </w:pPr>
      <w:r>
        <w:t>от 30 декабря 2021 г. N 911</w:t>
      </w:r>
    </w:p>
    <w:p w:rsidR="00C9525F" w:rsidRDefault="00C9525F">
      <w:pPr>
        <w:pStyle w:val="ConsPlusTitle"/>
        <w:jc w:val="center"/>
      </w:pPr>
    </w:p>
    <w:p w:rsidR="00C9525F" w:rsidRDefault="00C9525F">
      <w:pPr>
        <w:pStyle w:val="ConsPlusTitle"/>
        <w:jc w:val="center"/>
      </w:pPr>
      <w:r>
        <w:t>ОБ УТВЕРЖДЕНИИ ПОРЯДКА ГОСУДАРСТВЕННОЙ РЕГИСТРАЦИИ</w:t>
      </w:r>
    </w:p>
    <w:p w:rsidR="00C9525F" w:rsidRDefault="00C9525F">
      <w:pPr>
        <w:pStyle w:val="ConsPlusTitle"/>
        <w:jc w:val="center"/>
      </w:pPr>
      <w:r>
        <w:t>ЗАКЛЮЧЕНИЯ БРАКА В ТОРЖЕСТВЕННОЙ ОБСТАНОВКЕ В ОРГАНАХ</w:t>
      </w:r>
    </w:p>
    <w:p w:rsidR="00C9525F" w:rsidRDefault="00C9525F">
      <w:pPr>
        <w:pStyle w:val="ConsPlusTitle"/>
        <w:jc w:val="center"/>
      </w:pPr>
      <w:r>
        <w:t>ЗАПИСИ АКТОВ ГРАЖДАНСКОГО СОСТОЯНИЯ ЛЕНИНГРАДСКОЙ ОБЛАСТИ</w:t>
      </w:r>
    </w:p>
    <w:p w:rsidR="00C9525F" w:rsidRDefault="00C9525F">
      <w:pPr>
        <w:pStyle w:val="ConsPlusNormal"/>
        <w:jc w:val="center"/>
      </w:pPr>
    </w:p>
    <w:p w:rsidR="00C9525F" w:rsidRDefault="00C9525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областным </w:t>
      </w:r>
      <w:hyperlink r:id="rId6">
        <w:r>
          <w:rPr>
            <w:color w:val="0000FF"/>
          </w:rPr>
          <w:t>законом</w:t>
        </w:r>
      </w:hyperlink>
      <w:r>
        <w:t xml:space="preserve"> от 8 декабря 2005 года N 112-оз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в сфере государственной регистрации актов гражданского состояния" Правительство Ленинградской области постановляет:</w:t>
      </w:r>
      <w:proofErr w:type="gramEnd"/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государственной регистрации заключения брака в торжественной обстановке в органах записи актов гражданского состояния Ленинградской области (далее - Порядок).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2. Рекомендовать органам записи актов гражданского состояния Ленинградской области проводить государственную регистрацию заключения брака в торжественной обстановке в соответствии с Порядком.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30 декабря 2021 года.</w:t>
      </w: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jc w:val="right"/>
      </w:pPr>
      <w:r>
        <w:t>Губернатор</w:t>
      </w:r>
    </w:p>
    <w:p w:rsidR="00C9525F" w:rsidRDefault="00C9525F">
      <w:pPr>
        <w:pStyle w:val="ConsPlusNormal"/>
        <w:jc w:val="right"/>
      </w:pPr>
      <w:r>
        <w:t>Ленинградской области</w:t>
      </w:r>
    </w:p>
    <w:p w:rsidR="00C9525F" w:rsidRDefault="00C9525F">
      <w:pPr>
        <w:pStyle w:val="ConsPlusNormal"/>
        <w:jc w:val="right"/>
      </w:pPr>
      <w:r>
        <w:t>А.Дрозденко</w:t>
      </w:r>
    </w:p>
    <w:p w:rsidR="00C9525F" w:rsidRDefault="00C9525F">
      <w:pPr>
        <w:pStyle w:val="ConsPlusNormal"/>
        <w:jc w:val="right"/>
      </w:pPr>
    </w:p>
    <w:p w:rsidR="00C9525F" w:rsidRDefault="00C9525F">
      <w:pPr>
        <w:pStyle w:val="ConsPlusNormal"/>
        <w:jc w:val="right"/>
      </w:pPr>
    </w:p>
    <w:p w:rsidR="00C9525F" w:rsidRDefault="00C9525F">
      <w:pPr>
        <w:pStyle w:val="ConsPlusNormal"/>
        <w:jc w:val="right"/>
      </w:pPr>
    </w:p>
    <w:p w:rsidR="00C9525F" w:rsidRDefault="00C9525F">
      <w:pPr>
        <w:pStyle w:val="ConsPlusNormal"/>
        <w:jc w:val="right"/>
      </w:pPr>
    </w:p>
    <w:p w:rsidR="00C9525F" w:rsidRDefault="00C9525F">
      <w:pPr>
        <w:pStyle w:val="ConsPlusNormal"/>
        <w:jc w:val="right"/>
      </w:pPr>
    </w:p>
    <w:p w:rsidR="00C9525F" w:rsidRDefault="00C9525F">
      <w:pPr>
        <w:pStyle w:val="ConsPlusNormal"/>
        <w:jc w:val="right"/>
        <w:outlineLvl w:val="0"/>
      </w:pPr>
      <w:r>
        <w:t>УТВЕРЖДЕН</w:t>
      </w:r>
    </w:p>
    <w:p w:rsidR="00C9525F" w:rsidRDefault="00C9525F">
      <w:pPr>
        <w:pStyle w:val="ConsPlusNormal"/>
        <w:jc w:val="right"/>
      </w:pPr>
      <w:r>
        <w:t>постановлением Правительства</w:t>
      </w:r>
    </w:p>
    <w:p w:rsidR="00C9525F" w:rsidRDefault="00C9525F">
      <w:pPr>
        <w:pStyle w:val="ConsPlusNormal"/>
        <w:jc w:val="right"/>
      </w:pPr>
      <w:r>
        <w:t>Ленинградской области</w:t>
      </w:r>
    </w:p>
    <w:p w:rsidR="00C9525F" w:rsidRDefault="00C9525F">
      <w:pPr>
        <w:pStyle w:val="ConsPlusNormal"/>
        <w:jc w:val="right"/>
      </w:pPr>
      <w:r>
        <w:t>от 30.12.2021 N 911</w:t>
      </w:r>
    </w:p>
    <w:p w:rsidR="00C9525F" w:rsidRDefault="00C9525F">
      <w:pPr>
        <w:pStyle w:val="ConsPlusNormal"/>
        <w:jc w:val="right"/>
      </w:pPr>
      <w:r>
        <w:t>(приложение)</w:t>
      </w:r>
    </w:p>
    <w:p w:rsidR="00C9525F" w:rsidRDefault="00C9525F">
      <w:pPr>
        <w:pStyle w:val="ConsPlusNormal"/>
        <w:jc w:val="right"/>
      </w:pPr>
    </w:p>
    <w:p w:rsidR="00C9525F" w:rsidRDefault="00C9525F">
      <w:pPr>
        <w:pStyle w:val="ConsPlusTitle"/>
        <w:jc w:val="center"/>
      </w:pPr>
      <w:bookmarkStart w:id="0" w:name="P31"/>
      <w:bookmarkEnd w:id="0"/>
      <w:r>
        <w:t>ПОРЯДОК</w:t>
      </w:r>
    </w:p>
    <w:p w:rsidR="00C9525F" w:rsidRDefault="00C9525F">
      <w:pPr>
        <w:pStyle w:val="ConsPlusTitle"/>
        <w:jc w:val="center"/>
      </w:pPr>
      <w:r>
        <w:t xml:space="preserve">ГОСУДАРСТВЕННОЙ РЕГИСТРАЦИИ ЗАКЛЮЧЕНИЯ БРАКА </w:t>
      </w:r>
      <w:proofErr w:type="gramStart"/>
      <w:r>
        <w:t>В</w:t>
      </w:r>
      <w:proofErr w:type="gramEnd"/>
      <w:r>
        <w:t xml:space="preserve"> ТОРЖЕСТВЕННОЙ</w:t>
      </w:r>
    </w:p>
    <w:p w:rsidR="00C9525F" w:rsidRDefault="00C9525F">
      <w:pPr>
        <w:pStyle w:val="ConsPlusTitle"/>
        <w:jc w:val="center"/>
      </w:pPr>
      <w:r>
        <w:t>ОБСТАНОВКЕ В ОРГАНАХ ЗАПИСИ АКТОВ ГРАЖДАНСКОГО СОСТОЯНИЯ</w:t>
      </w:r>
    </w:p>
    <w:p w:rsidR="00C9525F" w:rsidRDefault="00C9525F">
      <w:pPr>
        <w:pStyle w:val="ConsPlusTitle"/>
        <w:jc w:val="center"/>
      </w:pPr>
      <w:r>
        <w:t>ЛЕНИНГРАДСКОЙ ОБЛАСТИ</w:t>
      </w:r>
    </w:p>
    <w:p w:rsidR="00C9525F" w:rsidRDefault="00C9525F">
      <w:pPr>
        <w:pStyle w:val="ConsPlusNormal"/>
        <w:jc w:val="center"/>
      </w:pPr>
    </w:p>
    <w:p w:rsidR="00C9525F" w:rsidRDefault="00C952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подготовлен в целях обеспечения выполнения органами записи актов гражданского состояния Ленинградской области (далее - органы ЗАГС) положений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15 ноября 1997 года N 143-ФЗ "Об актах гражданского состояния", Административного </w:t>
      </w:r>
      <w:hyperlink r:id="rId8">
        <w:r>
          <w:rPr>
            <w:color w:val="0000FF"/>
          </w:rPr>
          <w:t>регламента</w:t>
        </w:r>
      </w:hyperlink>
      <w:r>
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утвержденного приказом Министерства юстиции Российской Федерации от</w:t>
      </w:r>
      <w:proofErr w:type="gramEnd"/>
      <w:r>
        <w:t xml:space="preserve"> 28 декабря 2018 года N 307 (далее - Административный регламент), в части предоставления государственной услуги по государственной регистрации заключения брака в торжественной обстановке.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2. Государственная регистрация заключения брака в торжественной обстановке в органе ЗАГС предусматривает: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lastRenderedPageBreak/>
        <w:t>1) проведение церемонии государственной регистрации заключения брака в торжественной обстановке в помещении, предназначенном для проведения торжественных регистраций, - зале торжественных регистраций;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2) наличие в зале торжественных регистраций государственной символики - Государственного флага Российской Федерации, Государственного герба Российской Федерации;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3) наличие в зале торжественных регистраций предметов внутреннего убранства, иных элементов интерьера, способствующих созданию торжественности и государственной значимости момента;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 xml:space="preserve">4) наличие обязательных </w:t>
      </w:r>
      <w:hyperlink w:anchor="P59">
        <w:proofErr w:type="gramStart"/>
        <w:r>
          <w:rPr>
            <w:color w:val="0000FF"/>
          </w:rPr>
          <w:t>элементов</w:t>
        </w:r>
      </w:hyperlink>
      <w:r>
        <w:t xml:space="preserve"> проведения церемонии государственной регистрации заключения брака</w:t>
      </w:r>
      <w:proofErr w:type="gramEnd"/>
      <w:r>
        <w:t xml:space="preserve"> в торжественной обстановке согласно приложению к настоящему Порядку;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5) торжественную речь сотрудника органа ЗАГС;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6) музыкальное сопровождение с использованием музыкальных технических средств органа ЗАГС.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 xml:space="preserve">3. За проведение церемонии государственной регистрации заключения брака в торжественной обстановке, проводимой сотрудником органа ЗАГС, в зале торжественных регистраций с использованием музыкальных технических средств органа ЗАГС плата, кроме государственной пошлины, предусмотренной Налоговым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не взимается.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4. Сотрудники органов ЗАГС не оказывают сопутствующие услуги (фотосъемку, видеосъемку и т.д.) и не несут ответственности за предоставление подобных услуг другими лицами.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В помещении органа ЗАГС сопутствующие услуги могут оказываться иными лицами в соответствии с действующим законодательством.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5. Церемония государственной регистрации брака в торжественной обстановке проводится в органах ЗАГС в приемные дни, установленные правовыми актами администраций муниципальных образований Ленинградской области, устанавливающими режим работы органов ЗАГС, в назначенное время.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6. При наличии особых обстоятельств, уважительных причин по просьбе лиц, вступающих в брак, церемония государственной регистрации брака в торжественной обстановке может быть проведена в органе ЗАГС и в другие дни, если это не препятствует приему граждан по другим вопросам.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7. Руководитель органа ЗАГС или сотрудник, осуществляющий прием заявлений о заключении брака, вправе предупредить лиц, вступающих в брак, об ограничении количества приглашаемых ими гостей для участия в церемонии государственной регистрации заключения брака в торжественной обстановке в зависимости от вместимости зала торжественных регистраций.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8. Время нахождения лиц, вступающих в брак, и их гостей в помещении органа ЗАГС не должно превышать времени, установленного Административным регламентом, с учетом продолжительности времени проверки и оформления документов, необходимых для государственной регистрации заключения брака, и проведения церемонии государственной регистрации заключения брака в торжественной обстановке.</w:t>
      </w: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jc w:val="right"/>
        <w:outlineLvl w:val="1"/>
      </w:pPr>
      <w:r>
        <w:t>Приложение</w:t>
      </w:r>
    </w:p>
    <w:p w:rsidR="00C9525F" w:rsidRDefault="00C9525F">
      <w:pPr>
        <w:pStyle w:val="ConsPlusNormal"/>
        <w:jc w:val="right"/>
      </w:pPr>
      <w:r>
        <w:t>к Порядку...</w:t>
      </w: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Title"/>
        <w:jc w:val="center"/>
      </w:pPr>
      <w:bookmarkStart w:id="1" w:name="P59"/>
      <w:bookmarkEnd w:id="1"/>
      <w:r>
        <w:t>ОБЯЗАТЕЛЬНЫЕ ЭЛЕМЕНТЫ</w:t>
      </w:r>
    </w:p>
    <w:p w:rsidR="00C9525F" w:rsidRDefault="00C9525F">
      <w:pPr>
        <w:pStyle w:val="ConsPlusTitle"/>
        <w:jc w:val="center"/>
      </w:pPr>
      <w:r>
        <w:t>ПРОВЕДЕНИЯ ЦЕРЕМОНИИ ГОСУДАРСТВЕННОЙ РЕГИСТРАЦИИ</w:t>
      </w:r>
    </w:p>
    <w:p w:rsidR="00C9525F" w:rsidRDefault="00C9525F">
      <w:pPr>
        <w:pStyle w:val="ConsPlusTitle"/>
        <w:jc w:val="center"/>
      </w:pPr>
      <w:r>
        <w:t>ЗАКЛЮЧЕНИЯ БРАКА В ТОРЖЕСТВЕННОЙ ОБСТАНОВКЕ</w:t>
      </w:r>
    </w:p>
    <w:p w:rsidR="00C9525F" w:rsidRDefault="00C9525F">
      <w:pPr>
        <w:pStyle w:val="ConsPlusNormal"/>
        <w:jc w:val="center"/>
      </w:pPr>
    </w:p>
    <w:p w:rsidR="00C9525F" w:rsidRDefault="00C9525F">
      <w:pPr>
        <w:pStyle w:val="ConsPlusNormal"/>
        <w:ind w:firstLine="540"/>
        <w:jc w:val="both"/>
      </w:pPr>
      <w:r>
        <w:lastRenderedPageBreak/>
        <w:t>1. Встреча лиц, вступающих в брак, их гостей и приглашение в зал торжественных регистраций.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2. Приветствие участников церемонии.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3. Получение согласия на заключение брака от лиц, вступающих в брак.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4. Приглашение лиц, вступающих в брак, поставить подписи в записи акта о заключении брака.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5. Объявление мужем и женой лиц, вступивших в брак.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6. Просьба обменяться обручальными кольцами (при их наличии).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7. Вручение свидетельства о заключении брака.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8. Поздравление лиц, вступивших в брак.</w:t>
      </w:r>
    </w:p>
    <w:p w:rsidR="00C9525F" w:rsidRDefault="00C9525F">
      <w:pPr>
        <w:pStyle w:val="ConsPlusNormal"/>
        <w:spacing w:before="200"/>
        <w:ind w:firstLine="540"/>
        <w:jc w:val="both"/>
      </w:pPr>
      <w:r>
        <w:t>9. Проводы из зала торжественных регистраций.</w:t>
      </w: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ind w:firstLine="540"/>
        <w:jc w:val="both"/>
      </w:pPr>
    </w:p>
    <w:p w:rsidR="00C9525F" w:rsidRDefault="00C952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44" w:rsidRDefault="00106A44"/>
    <w:sectPr w:rsidR="00106A44" w:rsidSect="007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9525F"/>
    <w:rsid w:val="00106A44"/>
    <w:rsid w:val="00700906"/>
    <w:rsid w:val="00C9525F"/>
    <w:rsid w:val="00F8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2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C952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C952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2ABA12426F9B77697706234F53763403C9A130EBFB62E423E6248A5ED804F3D0F6C31716C100D50964AC0DBAD9C40B66AAD354BQ4q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22ABA12426F9B77697706234F53763403E991A09BFB62E423E6248A5ED804F3D0F6C367A6F100D50964AC0DBAD9C40B66AAD354BQ4q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2ABA12426F9B776976F7321F53763463998130AB4B62E423E6248A5ED804F3D0F6C32786D195B02D94B9C9DF08F43BE6AAE35574FCBB9Q4q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22ABA12426F9B77697706234F53763403E991A09BFB62E423E6248A5ED804F3D0F6C367A6F100D50964AC0DBAD9C40B66AAD354BQ4qF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22ABA12426F9B77697706234F53763403D991304B5B62E423E6248A5ED804F2F0F343E7A65055801CC1DCDDBQA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2022-10-28T07:42:00Z</dcterms:created>
  <dcterms:modified xsi:type="dcterms:W3CDTF">2022-10-28T07:42:00Z</dcterms:modified>
</cp:coreProperties>
</file>