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DF" w:rsidRDefault="005902DF" w:rsidP="005902DF">
      <w:pPr>
        <w:jc w:val="center"/>
      </w:pPr>
    </w:p>
    <w:p w:rsidR="005902DF" w:rsidRDefault="005902DF" w:rsidP="005902D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2DF" w:rsidRDefault="005902DF" w:rsidP="005902DF">
      <w:pPr>
        <w:jc w:val="center"/>
      </w:pPr>
    </w:p>
    <w:p w:rsidR="005902DF" w:rsidRPr="00BB1552" w:rsidRDefault="005902DF" w:rsidP="005902DF">
      <w:pPr>
        <w:jc w:val="center"/>
        <w:rPr>
          <w:rFonts w:ascii="Times New Roman" w:hAnsi="Times New Roman" w:cs="Times New Roman"/>
          <w:sz w:val="26"/>
        </w:rPr>
      </w:pPr>
      <w:r w:rsidRPr="00BB1552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5902DF" w:rsidRPr="00BB1552" w:rsidRDefault="005902DF" w:rsidP="005902DF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B1552">
        <w:rPr>
          <w:rFonts w:ascii="Times New Roman" w:hAnsi="Times New Roman" w:cs="Times New Roman"/>
          <w:b/>
          <w:sz w:val="44"/>
        </w:rPr>
        <w:t>П</w:t>
      </w:r>
      <w:proofErr w:type="gramEnd"/>
      <w:r w:rsidRPr="00BB1552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5902DF" w:rsidRPr="00BB1552" w:rsidRDefault="005902DF" w:rsidP="005902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B155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E47882">
        <w:rPr>
          <w:rFonts w:ascii="Times New Roman" w:hAnsi="Times New Roman" w:cs="Times New Roman"/>
          <w:lang w:val="en-US"/>
        </w:rPr>
        <w:t xml:space="preserve">10 </w:t>
      </w:r>
      <w:r w:rsidR="00E47882">
        <w:rPr>
          <w:rFonts w:ascii="Times New Roman" w:hAnsi="Times New Roman" w:cs="Times New Roman"/>
        </w:rPr>
        <w:t>марта 2026 г.</w:t>
      </w:r>
      <w:r>
        <w:rPr>
          <w:rFonts w:ascii="Times New Roman" w:hAnsi="Times New Roman" w:cs="Times New Roman"/>
        </w:rPr>
        <w:t xml:space="preserve"> </w:t>
      </w:r>
      <w:r w:rsidRPr="00BB155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E47882">
        <w:rPr>
          <w:rFonts w:ascii="Times New Roman" w:hAnsi="Times New Roman" w:cs="Times New Roman"/>
        </w:rPr>
        <w:t>378</w:t>
      </w:r>
    </w:p>
    <w:p w:rsidR="00584B9B" w:rsidRDefault="00584B9B"/>
    <w:p w:rsidR="00584B9B" w:rsidRDefault="00584B9B" w:rsidP="00584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9B">
        <w:rPr>
          <w:rFonts w:ascii="Times New Roman" w:hAnsi="Times New Roman" w:cs="Times New Roman"/>
          <w:b/>
          <w:sz w:val="24"/>
          <w:szCs w:val="24"/>
        </w:rPr>
        <w:t>О</w:t>
      </w:r>
      <w:r w:rsidR="00FE5AF5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постановление администрации Кировского муниципального района Ленинградской области от </w:t>
      </w:r>
      <w:r w:rsidR="001836D5">
        <w:rPr>
          <w:rFonts w:ascii="Times New Roman" w:hAnsi="Times New Roman" w:cs="Times New Roman"/>
          <w:b/>
          <w:sz w:val="24"/>
          <w:szCs w:val="24"/>
        </w:rPr>
        <w:t>28.01.2026</w:t>
      </w:r>
      <w:r w:rsidR="00FE5AF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3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D5">
        <w:rPr>
          <w:rFonts w:ascii="Times New Roman" w:hAnsi="Times New Roman" w:cs="Times New Roman"/>
          <w:b/>
          <w:sz w:val="24"/>
          <w:szCs w:val="24"/>
        </w:rPr>
        <w:t>91</w:t>
      </w:r>
      <w:r w:rsidR="00FE5AF5">
        <w:rPr>
          <w:rFonts w:ascii="Times New Roman" w:hAnsi="Times New Roman" w:cs="Times New Roman"/>
          <w:b/>
          <w:sz w:val="24"/>
          <w:szCs w:val="24"/>
        </w:rPr>
        <w:t xml:space="preserve"> «Об утверждении реестра муниципальных маршрутов регулярных перевозок Кировского муниципального района Ленинградской области»</w:t>
      </w:r>
    </w:p>
    <w:p w:rsidR="00136842" w:rsidRDefault="00136842" w:rsidP="00584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0A" w:rsidRDefault="00481879" w:rsidP="0014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42D">
        <w:rPr>
          <w:rFonts w:ascii="Times New Roman" w:hAnsi="Times New Roman" w:cs="Times New Roman"/>
          <w:sz w:val="28"/>
          <w:szCs w:val="28"/>
        </w:rPr>
        <w:t>Р</w:t>
      </w:r>
      <w:r w:rsidR="002418A9" w:rsidRPr="00F7542D">
        <w:rPr>
          <w:rFonts w:ascii="Times New Roman" w:hAnsi="Times New Roman" w:cs="Times New Roman"/>
          <w:sz w:val="28"/>
          <w:szCs w:val="28"/>
        </w:rPr>
        <w:t>уководствуясь ст</w:t>
      </w:r>
      <w:r w:rsidRPr="00F7542D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1836D5">
        <w:rPr>
          <w:rFonts w:ascii="Times New Roman" w:hAnsi="Times New Roman" w:cs="Times New Roman"/>
          <w:sz w:val="28"/>
          <w:szCs w:val="28"/>
        </w:rPr>
        <w:t>2</w:t>
      </w:r>
      <w:r w:rsidR="002418A9" w:rsidRPr="00F7542D">
        <w:rPr>
          <w:rFonts w:ascii="Times New Roman" w:hAnsi="Times New Roman" w:cs="Times New Roman"/>
          <w:sz w:val="28"/>
          <w:szCs w:val="28"/>
        </w:rPr>
        <w:t>5 Федерального закона от 13.07.201</w:t>
      </w:r>
      <w:r w:rsidR="002E7B76">
        <w:rPr>
          <w:rFonts w:ascii="Times New Roman" w:hAnsi="Times New Roman" w:cs="Times New Roman"/>
          <w:sz w:val="28"/>
          <w:szCs w:val="28"/>
        </w:rPr>
        <w:t>5</w:t>
      </w:r>
      <w:r w:rsidR="00B040F8">
        <w:rPr>
          <w:rFonts w:ascii="Times New Roman" w:hAnsi="Times New Roman" w:cs="Times New Roman"/>
          <w:sz w:val="28"/>
          <w:szCs w:val="28"/>
        </w:rPr>
        <w:t xml:space="preserve">   </w:t>
      </w:r>
      <w:r w:rsidRPr="00F754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18A9" w:rsidRPr="00F7542D">
        <w:rPr>
          <w:rFonts w:ascii="Times New Roman" w:hAnsi="Times New Roman" w:cs="Times New Roman"/>
          <w:sz w:val="28"/>
          <w:szCs w:val="28"/>
        </w:rPr>
        <w:t xml:space="preserve"> № 220-ФЗ «Об организации регулярных перевозок пассажиров и багажа</w:t>
      </w:r>
      <w:r w:rsidR="00F630FE" w:rsidRPr="00F7542D">
        <w:rPr>
          <w:rFonts w:ascii="Times New Roman" w:hAnsi="Times New Roman" w:cs="Times New Roman"/>
          <w:sz w:val="28"/>
          <w:szCs w:val="28"/>
        </w:rPr>
        <w:t xml:space="preserve"> </w:t>
      </w:r>
      <w:r w:rsidR="002418A9" w:rsidRPr="00F7542D">
        <w:rPr>
          <w:rFonts w:ascii="Times New Roman" w:hAnsi="Times New Roman" w:cs="Times New Roman"/>
          <w:sz w:val="28"/>
          <w:szCs w:val="28"/>
        </w:rPr>
        <w:t xml:space="preserve"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403B34">
        <w:rPr>
          <w:rFonts w:ascii="Times New Roman" w:hAnsi="Times New Roman" w:cs="Times New Roman"/>
          <w:sz w:val="28"/>
          <w:szCs w:val="28"/>
        </w:rPr>
        <w:t>учитывая  прот</w:t>
      </w:r>
      <w:r w:rsidR="00F8385E">
        <w:rPr>
          <w:rFonts w:ascii="Times New Roman" w:hAnsi="Times New Roman" w:cs="Times New Roman"/>
          <w:sz w:val="28"/>
          <w:szCs w:val="28"/>
        </w:rPr>
        <w:t>о</w:t>
      </w:r>
      <w:r w:rsidR="00403B34">
        <w:rPr>
          <w:rFonts w:ascii="Times New Roman" w:hAnsi="Times New Roman" w:cs="Times New Roman"/>
          <w:sz w:val="28"/>
          <w:szCs w:val="28"/>
        </w:rPr>
        <w:t xml:space="preserve">кол №3 </w:t>
      </w:r>
      <w:r w:rsidR="001836D5">
        <w:rPr>
          <w:rFonts w:ascii="Times New Roman" w:hAnsi="Times New Roman" w:cs="Times New Roman"/>
          <w:sz w:val="28"/>
          <w:szCs w:val="28"/>
        </w:rPr>
        <w:t>о</w:t>
      </w:r>
      <w:r w:rsidR="00403B34">
        <w:rPr>
          <w:rFonts w:ascii="Times New Roman" w:hAnsi="Times New Roman" w:cs="Times New Roman"/>
          <w:sz w:val="28"/>
          <w:szCs w:val="28"/>
        </w:rPr>
        <w:t>ценки и сопостав</w:t>
      </w:r>
      <w:r w:rsidR="00F8385E">
        <w:rPr>
          <w:rFonts w:ascii="Times New Roman" w:hAnsi="Times New Roman" w:cs="Times New Roman"/>
          <w:sz w:val="28"/>
          <w:szCs w:val="28"/>
        </w:rPr>
        <w:t>л</w:t>
      </w:r>
      <w:r w:rsidR="00403B34">
        <w:rPr>
          <w:rFonts w:ascii="Times New Roman" w:hAnsi="Times New Roman" w:cs="Times New Roman"/>
          <w:sz w:val="28"/>
          <w:szCs w:val="28"/>
        </w:rPr>
        <w:t>ения заявок открытого конкурса на право получения свидет</w:t>
      </w:r>
      <w:r w:rsidR="00F8385E">
        <w:rPr>
          <w:rFonts w:ascii="Times New Roman" w:hAnsi="Times New Roman" w:cs="Times New Roman"/>
          <w:sz w:val="28"/>
          <w:szCs w:val="28"/>
        </w:rPr>
        <w:t>е</w:t>
      </w:r>
      <w:r w:rsidR="00403B34">
        <w:rPr>
          <w:rFonts w:ascii="Times New Roman" w:hAnsi="Times New Roman" w:cs="Times New Roman"/>
          <w:sz w:val="28"/>
          <w:szCs w:val="28"/>
        </w:rPr>
        <w:t>ль</w:t>
      </w:r>
      <w:r w:rsidR="00F8385E">
        <w:rPr>
          <w:rFonts w:ascii="Times New Roman" w:hAnsi="Times New Roman" w:cs="Times New Roman"/>
          <w:sz w:val="28"/>
          <w:szCs w:val="28"/>
        </w:rPr>
        <w:t>с</w:t>
      </w:r>
      <w:r w:rsidR="00403B34">
        <w:rPr>
          <w:rFonts w:ascii="Times New Roman" w:hAnsi="Times New Roman" w:cs="Times New Roman"/>
          <w:sz w:val="28"/>
          <w:szCs w:val="28"/>
        </w:rPr>
        <w:t>т</w:t>
      </w:r>
      <w:r w:rsidR="00F8385E">
        <w:rPr>
          <w:rFonts w:ascii="Times New Roman" w:hAnsi="Times New Roman" w:cs="Times New Roman"/>
          <w:sz w:val="28"/>
          <w:szCs w:val="28"/>
        </w:rPr>
        <w:t>в</w:t>
      </w:r>
      <w:r w:rsidR="00403B34">
        <w:rPr>
          <w:rFonts w:ascii="Times New Roman" w:hAnsi="Times New Roman" w:cs="Times New Roman"/>
          <w:sz w:val="28"/>
          <w:szCs w:val="28"/>
        </w:rPr>
        <w:t>а об осуществлении регулярных перевозок по муниципальному маршруту регулярных перевозок по нерегулируемым тарифам автомобильным транспортом общего пользования на территории Кировского муниципального района Ленинград</w:t>
      </w:r>
      <w:r w:rsidR="00F8385E">
        <w:rPr>
          <w:rFonts w:ascii="Times New Roman" w:hAnsi="Times New Roman" w:cs="Times New Roman"/>
          <w:sz w:val="28"/>
          <w:szCs w:val="28"/>
        </w:rPr>
        <w:t>с</w:t>
      </w:r>
      <w:r w:rsidR="00403B34">
        <w:rPr>
          <w:rFonts w:ascii="Times New Roman" w:hAnsi="Times New Roman" w:cs="Times New Roman"/>
          <w:sz w:val="28"/>
          <w:szCs w:val="28"/>
        </w:rPr>
        <w:t>кой обл</w:t>
      </w:r>
      <w:r w:rsidR="00F8385E">
        <w:rPr>
          <w:rFonts w:ascii="Times New Roman" w:hAnsi="Times New Roman" w:cs="Times New Roman"/>
          <w:sz w:val="28"/>
          <w:szCs w:val="28"/>
        </w:rPr>
        <w:t>а</w:t>
      </w:r>
      <w:r w:rsidR="00403B34">
        <w:rPr>
          <w:rFonts w:ascii="Times New Roman" w:hAnsi="Times New Roman" w:cs="Times New Roman"/>
          <w:sz w:val="28"/>
          <w:szCs w:val="28"/>
        </w:rPr>
        <w:t>сти №</w:t>
      </w:r>
      <w:r w:rsidR="001836D5">
        <w:rPr>
          <w:rFonts w:ascii="Times New Roman" w:hAnsi="Times New Roman" w:cs="Times New Roman"/>
          <w:sz w:val="28"/>
          <w:szCs w:val="28"/>
        </w:rPr>
        <w:t>572</w:t>
      </w:r>
      <w:r w:rsidR="00403B34">
        <w:rPr>
          <w:rFonts w:ascii="Times New Roman" w:hAnsi="Times New Roman" w:cs="Times New Roman"/>
          <w:sz w:val="28"/>
          <w:szCs w:val="28"/>
        </w:rPr>
        <w:t>-К «</w:t>
      </w:r>
      <w:r w:rsidR="001836D5">
        <w:rPr>
          <w:rFonts w:ascii="Times New Roman" w:hAnsi="Times New Roman" w:cs="Times New Roman"/>
          <w:sz w:val="28"/>
          <w:szCs w:val="28"/>
        </w:rPr>
        <w:t>г.Кировск, автостанция</w:t>
      </w:r>
      <w:r w:rsidR="00B46D63">
        <w:rPr>
          <w:rFonts w:ascii="Times New Roman" w:hAnsi="Times New Roman" w:cs="Times New Roman"/>
          <w:sz w:val="28"/>
          <w:szCs w:val="28"/>
        </w:rPr>
        <w:t xml:space="preserve"> </w:t>
      </w:r>
      <w:r w:rsidR="001836D5">
        <w:rPr>
          <w:rFonts w:ascii="Times New Roman" w:hAnsi="Times New Roman" w:cs="Times New Roman"/>
          <w:sz w:val="28"/>
          <w:szCs w:val="28"/>
        </w:rPr>
        <w:t>-</w:t>
      </w:r>
      <w:r w:rsidR="00B46D63">
        <w:rPr>
          <w:rFonts w:ascii="Times New Roman" w:hAnsi="Times New Roman" w:cs="Times New Roman"/>
          <w:sz w:val="28"/>
          <w:szCs w:val="28"/>
        </w:rPr>
        <w:t xml:space="preserve"> </w:t>
      </w:r>
      <w:r w:rsidR="001836D5">
        <w:rPr>
          <w:rFonts w:ascii="Times New Roman" w:hAnsi="Times New Roman" w:cs="Times New Roman"/>
          <w:sz w:val="28"/>
          <w:szCs w:val="28"/>
        </w:rPr>
        <w:t>п.Мга, кольцо»</w:t>
      </w:r>
      <w:r w:rsidR="00BE1B0A">
        <w:rPr>
          <w:rFonts w:ascii="Times New Roman" w:hAnsi="Times New Roman" w:cs="Times New Roman"/>
          <w:sz w:val="28"/>
          <w:szCs w:val="28"/>
        </w:rPr>
        <w:t>:</w:t>
      </w:r>
    </w:p>
    <w:p w:rsidR="00FE5AF5" w:rsidRPr="00BE1B0A" w:rsidRDefault="00BE1B0A" w:rsidP="00BE1B0A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B0A">
        <w:rPr>
          <w:rFonts w:ascii="Times New Roman" w:hAnsi="Times New Roman" w:cs="Times New Roman"/>
          <w:sz w:val="28"/>
          <w:szCs w:val="28"/>
        </w:rPr>
        <w:t>В</w:t>
      </w:r>
      <w:r w:rsidR="00FE5AF5" w:rsidRPr="00BE1B0A">
        <w:rPr>
          <w:rFonts w:ascii="Times New Roman" w:hAnsi="Times New Roman" w:cs="Times New Roman"/>
          <w:sz w:val="28"/>
          <w:szCs w:val="28"/>
        </w:rPr>
        <w:t xml:space="preserve">нести в постановление администрации Кировского муниципального района Ленинградской области от </w:t>
      </w:r>
      <w:r w:rsidR="00EE7AD4" w:rsidRPr="00BE1B0A">
        <w:rPr>
          <w:rFonts w:ascii="Times New Roman" w:hAnsi="Times New Roman" w:cs="Times New Roman"/>
          <w:sz w:val="28"/>
          <w:szCs w:val="28"/>
        </w:rPr>
        <w:t>28</w:t>
      </w:r>
      <w:r w:rsidR="00867BAC" w:rsidRPr="00BE1B0A">
        <w:rPr>
          <w:rFonts w:ascii="Times New Roman" w:hAnsi="Times New Roman" w:cs="Times New Roman"/>
          <w:sz w:val="28"/>
          <w:szCs w:val="28"/>
        </w:rPr>
        <w:t>.0</w:t>
      </w:r>
      <w:r w:rsidR="00EE7AD4" w:rsidRPr="00BE1B0A">
        <w:rPr>
          <w:rFonts w:ascii="Times New Roman" w:hAnsi="Times New Roman" w:cs="Times New Roman"/>
          <w:sz w:val="28"/>
          <w:szCs w:val="28"/>
        </w:rPr>
        <w:t>1</w:t>
      </w:r>
      <w:r w:rsidR="00867BAC" w:rsidRPr="00BE1B0A">
        <w:rPr>
          <w:rFonts w:ascii="Times New Roman" w:hAnsi="Times New Roman" w:cs="Times New Roman"/>
          <w:sz w:val="28"/>
          <w:szCs w:val="28"/>
        </w:rPr>
        <w:t>.</w:t>
      </w:r>
      <w:r w:rsidR="00FE5AF5" w:rsidRPr="00BE1B0A">
        <w:rPr>
          <w:rFonts w:ascii="Times New Roman" w:hAnsi="Times New Roman" w:cs="Times New Roman"/>
          <w:sz w:val="28"/>
          <w:szCs w:val="28"/>
        </w:rPr>
        <w:t>202</w:t>
      </w:r>
      <w:r w:rsidR="00EE7AD4" w:rsidRPr="00BE1B0A">
        <w:rPr>
          <w:rFonts w:ascii="Times New Roman" w:hAnsi="Times New Roman" w:cs="Times New Roman"/>
          <w:sz w:val="28"/>
          <w:szCs w:val="28"/>
        </w:rPr>
        <w:t>6</w:t>
      </w:r>
      <w:r w:rsidR="00FE5AF5" w:rsidRPr="00BE1B0A">
        <w:rPr>
          <w:rFonts w:ascii="Times New Roman" w:hAnsi="Times New Roman" w:cs="Times New Roman"/>
          <w:sz w:val="28"/>
          <w:szCs w:val="28"/>
        </w:rPr>
        <w:t xml:space="preserve"> №</w:t>
      </w:r>
      <w:r w:rsidR="009336D9" w:rsidRPr="00BE1B0A">
        <w:rPr>
          <w:rFonts w:ascii="Times New Roman" w:hAnsi="Times New Roman" w:cs="Times New Roman"/>
          <w:sz w:val="28"/>
          <w:szCs w:val="28"/>
        </w:rPr>
        <w:t xml:space="preserve"> </w:t>
      </w:r>
      <w:r w:rsidR="00EE7AD4" w:rsidRPr="00BE1B0A">
        <w:rPr>
          <w:rFonts w:ascii="Times New Roman" w:hAnsi="Times New Roman" w:cs="Times New Roman"/>
          <w:sz w:val="28"/>
          <w:szCs w:val="28"/>
        </w:rPr>
        <w:t>9</w:t>
      </w:r>
      <w:r w:rsidR="00FE5AF5" w:rsidRPr="00BE1B0A">
        <w:rPr>
          <w:rFonts w:ascii="Times New Roman" w:hAnsi="Times New Roman" w:cs="Times New Roman"/>
          <w:sz w:val="28"/>
          <w:szCs w:val="28"/>
        </w:rPr>
        <w:t>1 «Об утверждении реестра муниципальных маршрутов регулярных перевозок Кировского муниципального района Ленинградской области»</w:t>
      </w:r>
      <w:r w:rsidR="00403B34" w:rsidRPr="00BE1B0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A5855" w:rsidRPr="00BE1B0A">
        <w:rPr>
          <w:rFonts w:ascii="Times New Roman" w:hAnsi="Times New Roman" w:cs="Times New Roman"/>
          <w:sz w:val="28"/>
          <w:szCs w:val="28"/>
        </w:rPr>
        <w:t xml:space="preserve"> </w:t>
      </w:r>
      <w:r w:rsidR="00403B34" w:rsidRPr="00BE1B0A">
        <w:rPr>
          <w:rFonts w:ascii="Times New Roman" w:hAnsi="Times New Roman" w:cs="Times New Roman"/>
          <w:sz w:val="28"/>
          <w:szCs w:val="28"/>
        </w:rPr>
        <w:t>-</w:t>
      </w:r>
      <w:r w:rsidR="001A5855" w:rsidRPr="00BE1B0A">
        <w:rPr>
          <w:rFonts w:ascii="Times New Roman" w:hAnsi="Times New Roman" w:cs="Times New Roman"/>
          <w:sz w:val="28"/>
          <w:szCs w:val="28"/>
        </w:rPr>
        <w:t xml:space="preserve"> </w:t>
      </w:r>
      <w:r w:rsidRPr="00BE1B0A">
        <w:rPr>
          <w:rFonts w:ascii="Times New Roman" w:hAnsi="Times New Roman" w:cs="Times New Roman"/>
          <w:sz w:val="28"/>
          <w:szCs w:val="28"/>
        </w:rPr>
        <w:t>п</w:t>
      </w:r>
      <w:r w:rsidR="00403B34" w:rsidRPr="00BE1B0A">
        <w:rPr>
          <w:rFonts w:ascii="Times New Roman" w:hAnsi="Times New Roman" w:cs="Times New Roman"/>
          <w:sz w:val="28"/>
          <w:szCs w:val="28"/>
        </w:rPr>
        <w:t>остановление)</w:t>
      </w:r>
      <w:r w:rsidR="00F33F5D" w:rsidRPr="00BE1B0A">
        <w:rPr>
          <w:rFonts w:ascii="Times New Roman" w:hAnsi="Times New Roman" w:cs="Times New Roman"/>
          <w:sz w:val="28"/>
          <w:szCs w:val="28"/>
        </w:rPr>
        <w:t xml:space="preserve"> с</w:t>
      </w:r>
      <w:r w:rsidR="00FE5AF5" w:rsidRPr="00BE1B0A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1A5855" w:rsidRDefault="00BE1B0A" w:rsidP="00BE1B0A">
      <w:pPr>
        <w:pStyle w:val="a3"/>
        <w:numPr>
          <w:ilvl w:val="1"/>
          <w:numId w:val="8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B34" w:rsidRPr="00403B3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836D5">
        <w:rPr>
          <w:rFonts w:ascii="Times New Roman" w:hAnsi="Times New Roman" w:cs="Times New Roman"/>
          <w:sz w:val="28"/>
          <w:szCs w:val="28"/>
        </w:rPr>
        <w:t>30</w:t>
      </w:r>
      <w:r w:rsidR="00403B34" w:rsidRPr="00403B34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6264EE">
        <w:rPr>
          <w:rFonts w:ascii="Times New Roman" w:hAnsi="Times New Roman" w:cs="Times New Roman"/>
          <w:sz w:val="28"/>
          <w:szCs w:val="28"/>
        </w:rPr>
        <w:t xml:space="preserve"> к</w:t>
      </w:r>
      <w:r w:rsidR="00403B34" w:rsidRPr="00403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03B34" w:rsidRPr="00403B34">
        <w:rPr>
          <w:rFonts w:ascii="Times New Roman" w:hAnsi="Times New Roman" w:cs="Times New Roman"/>
          <w:sz w:val="28"/>
          <w:szCs w:val="28"/>
        </w:rPr>
        <w:t>остановлени</w:t>
      </w:r>
      <w:r w:rsidR="006264EE">
        <w:rPr>
          <w:rFonts w:ascii="Times New Roman" w:hAnsi="Times New Roman" w:cs="Times New Roman"/>
          <w:sz w:val="28"/>
          <w:szCs w:val="28"/>
        </w:rPr>
        <w:t>ю</w:t>
      </w:r>
      <w:r w:rsidR="00403B34" w:rsidRPr="00403B34">
        <w:rPr>
          <w:rFonts w:ascii="Times New Roman" w:hAnsi="Times New Roman" w:cs="Times New Roman"/>
          <w:sz w:val="28"/>
          <w:szCs w:val="28"/>
        </w:rPr>
        <w:t xml:space="preserve"> (Реестр муниципальных маршрутов регулярных перев</w:t>
      </w:r>
      <w:r w:rsidR="00F8385E">
        <w:rPr>
          <w:rFonts w:ascii="Times New Roman" w:hAnsi="Times New Roman" w:cs="Times New Roman"/>
          <w:sz w:val="28"/>
          <w:szCs w:val="28"/>
        </w:rPr>
        <w:t>о</w:t>
      </w:r>
      <w:r w:rsidR="00403B34" w:rsidRPr="00403B34">
        <w:rPr>
          <w:rFonts w:ascii="Times New Roman" w:hAnsi="Times New Roman" w:cs="Times New Roman"/>
          <w:sz w:val="28"/>
          <w:szCs w:val="28"/>
        </w:rPr>
        <w:t>зок Кировского муниципального района Ленинград</w:t>
      </w:r>
      <w:r w:rsidR="00F8385E">
        <w:rPr>
          <w:rFonts w:ascii="Times New Roman" w:hAnsi="Times New Roman" w:cs="Times New Roman"/>
          <w:sz w:val="28"/>
          <w:szCs w:val="28"/>
        </w:rPr>
        <w:t>с</w:t>
      </w:r>
      <w:r w:rsidR="001A5855">
        <w:rPr>
          <w:rFonts w:ascii="Times New Roman" w:hAnsi="Times New Roman" w:cs="Times New Roman"/>
          <w:sz w:val="28"/>
          <w:szCs w:val="28"/>
        </w:rPr>
        <w:t>кой области) изложить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1A585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A5855" w:rsidRDefault="00BE1B0A" w:rsidP="00BE1B0A">
      <w:pPr>
        <w:pStyle w:val="a3"/>
        <w:numPr>
          <w:ilvl w:val="1"/>
          <w:numId w:val="8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855" w:rsidRPr="001A5855">
        <w:rPr>
          <w:rFonts w:ascii="Times New Roman" w:hAnsi="Times New Roman" w:cs="Times New Roman"/>
          <w:sz w:val="28"/>
          <w:szCs w:val="28"/>
        </w:rPr>
        <w:t>Пункт 30 приложения к Реестру муниципальных маршрутов</w:t>
      </w:r>
      <w:r w:rsidR="001A5855">
        <w:rPr>
          <w:rFonts w:ascii="Times New Roman" w:hAnsi="Times New Roman" w:cs="Times New Roman"/>
          <w:sz w:val="28"/>
          <w:szCs w:val="28"/>
        </w:rPr>
        <w:t xml:space="preserve"> регулярных перевозок Кировского муниципального района Ленинградской области (Расписание, включаемое в реестр муниципальных маршрутов регулярных перевозок Ки</w:t>
      </w:r>
      <w:r>
        <w:rPr>
          <w:rFonts w:ascii="Times New Roman" w:hAnsi="Times New Roman" w:cs="Times New Roman"/>
          <w:sz w:val="28"/>
          <w:szCs w:val="28"/>
        </w:rPr>
        <w:t>ровского муниципального района Л</w:t>
      </w:r>
      <w:r w:rsidR="001A5855">
        <w:rPr>
          <w:rFonts w:ascii="Times New Roman" w:hAnsi="Times New Roman" w:cs="Times New Roman"/>
          <w:sz w:val="28"/>
          <w:szCs w:val="28"/>
        </w:rPr>
        <w:t xml:space="preserve">енинградской области)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A585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8D45A7" w:rsidRPr="00403B34" w:rsidRDefault="00D3636D" w:rsidP="00BE1B0A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3B34">
        <w:rPr>
          <w:rFonts w:ascii="Times New Roman" w:hAnsi="Times New Roman" w:cs="Times New Roman"/>
          <w:sz w:val="28"/>
          <w:szCs w:val="28"/>
        </w:rPr>
        <w:t xml:space="preserve"> </w:t>
      </w:r>
      <w:r w:rsidR="008D45A7" w:rsidRPr="00403B3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официального опубликования в средстве массовой информации газете «Ладога»,  </w:t>
      </w:r>
      <w:r w:rsidR="008D45A7" w:rsidRPr="00403B34">
        <w:rPr>
          <w:rFonts w:ascii="Times New Roman" w:hAnsi="Times New Roman" w:cs="Times New Roman"/>
          <w:sz w:val="28"/>
          <w:szCs w:val="28"/>
        </w:rPr>
        <w:lastRenderedPageBreak/>
        <w:t>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«Интернет».</w:t>
      </w:r>
    </w:p>
    <w:p w:rsidR="00584B9B" w:rsidRPr="00584B9B" w:rsidRDefault="00584B9B" w:rsidP="00BE1B0A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B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по </w:t>
      </w:r>
      <w:r w:rsidR="00403B34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строительству</w:t>
      </w:r>
      <w:r w:rsidRPr="00584B9B">
        <w:rPr>
          <w:rFonts w:ascii="Times New Roman" w:hAnsi="Times New Roman" w:cs="Times New Roman"/>
          <w:sz w:val="28"/>
          <w:szCs w:val="28"/>
        </w:rPr>
        <w:t>.</w:t>
      </w:r>
    </w:p>
    <w:p w:rsidR="00584B9B" w:rsidRDefault="00584B9B" w:rsidP="00BE1B0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221" w:rsidRPr="00584B9B" w:rsidRDefault="002F7221" w:rsidP="00BE1B0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B9B" w:rsidRPr="00584B9B" w:rsidRDefault="002F7221" w:rsidP="00584B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4B9B" w:rsidRPr="00584B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4B9B">
        <w:rPr>
          <w:rFonts w:ascii="Times New Roman" w:hAnsi="Times New Roman" w:cs="Times New Roman"/>
          <w:sz w:val="28"/>
          <w:szCs w:val="28"/>
        </w:rPr>
        <w:t xml:space="preserve"> </w:t>
      </w:r>
      <w:r w:rsidR="00584B9B" w:rsidRPr="00584B9B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</w:t>
      </w:r>
      <w:r w:rsidR="00584B9B">
        <w:rPr>
          <w:rFonts w:ascii="Times New Roman" w:hAnsi="Times New Roman" w:cs="Times New Roman"/>
          <w:sz w:val="28"/>
          <w:szCs w:val="28"/>
        </w:rPr>
        <w:t xml:space="preserve">  </w:t>
      </w:r>
      <w:r w:rsidR="00867BAC">
        <w:rPr>
          <w:rFonts w:ascii="Times New Roman" w:hAnsi="Times New Roman" w:cs="Times New Roman"/>
          <w:sz w:val="28"/>
          <w:szCs w:val="28"/>
        </w:rPr>
        <w:t xml:space="preserve">  </w:t>
      </w:r>
      <w:r w:rsidR="00584B9B">
        <w:rPr>
          <w:rFonts w:ascii="Times New Roman" w:hAnsi="Times New Roman" w:cs="Times New Roman"/>
          <w:sz w:val="28"/>
          <w:szCs w:val="28"/>
        </w:rPr>
        <w:t xml:space="preserve">              С.А. Ельчанинов</w:t>
      </w:r>
      <w:r w:rsidR="00584B9B" w:rsidRPr="0058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DCA" w:rsidRDefault="00663DCA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B276C" w:rsidRPr="00FE5AF5" w:rsidRDefault="00AB276C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B276C" w:rsidRDefault="00AB276C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336D9" w:rsidRDefault="009336D9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336D9" w:rsidRDefault="009336D9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336D9" w:rsidRDefault="009336D9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2E0A" w:rsidRDefault="00142E0A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2E0A" w:rsidRDefault="00142E0A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2E0A" w:rsidRDefault="00142E0A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2E0A" w:rsidRDefault="00142E0A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2E0A" w:rsidRDefault="00142E0A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D29A1" w:rsidRDefault="004D29A1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46D63" w:rsidRDefault="00B46D63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336D9" w:rsidRPr="00FE5AF5" w:rsidRDefault="009336D9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877EF" w:rsidRDefault="00F877E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30F43" w:rsidRDefault="00330F43" w:rsidP="00F630FE">
      <w:pPr>
        <w:jc w:val="both"/>
        <w:rPr>
          <w:rFonts w:ascii="Times New Roman" w:hAnsi="Times New Roman" w:cs="Times New Roman"/>
          <w:sz w:val="18"/>
          <w:szCs w:val="18"/>
        </w:rPr>
        <w:sectPr w:rsidR="00330F43" w:rsidSect="00330F43">
          <w:pgSz w:w="11906" w:h="16838"/>
          <w:pgMar w:top="1134" w:right="1276" w:bottom="567" w:left="1701" w:header="709" w:footer="709" w:gutter="0"/>
          <w:cols w:space="708"/>
          <w:docGrid w:linePitch="360"/>
        </w:sectPr>
      </w:pPr>
    </w:p>
    <w:p w:rsidR="00330F43" w:rsidRPr="005864B3" w:rsidRDefault="00330F43" w:rsidP="00330F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A32ED">
        <w:rPr>
          <w:rFonts w:ascii="Times New Roman" w:hAnsi="Times New Roman" w:cs="Times New Roman"/>
          <w:sz w:val="20"/>
          <w:szCs w:val="20"/>
        </w:rPr>
        <w:t>Приложение</w:t>
      </w:r>
      <w:r w:rsidR="00BE1B0A" w:rsidRPr="005864B3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330F43" w:rsidRPr="00FA32ED" w:rsidRDefault="00330F43" w:rsidP="00330F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к</w:t>
      </w:r>
      <w:r w:rsidRPr="00FA32ED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</w:t>
      </w:r>
    </w:p>
    <w:p w:rsidR="00330F43" w:rsidRDefault="00330F43" w:rsidP="00330F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A32ED">
        <w:rPr>
          <w:rFonts w:ascii="Times New Roman" w:hAnsi="Times New Roman" w:cs="Times New Roman"/>
          <w:sz w:val="20"/>
          <w:szCs w:val="20"/>
        </w:rPr>
        <w:t>Кировского муниципального района</w:t>
      </w:r>
    </w:p>
    <w:p w:rsidR="00330F43" w:rsidRDefault="00330F43" w:rsidP="00330F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Ленинградской области</w:t>
      </w:r>
    </w:p>
    <w:p w:rsidR="00330F43" w:rsidRDefault="00330F43" w:rsidP="00330F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E47882">
        <w:rPr>
          <w:rFonts w:ascii="Times New Roman" w:hAnsi="Times New Roman" w:cs="Times New Roman"/>
          <w:sz w:val="20"/>
          <w:szCs w:val="20"/>
        </w:rPr>
        <w:t xml:space="preserve">                             от 10 марта 2026 г. № 378</w:t>
      </w:r>
      <w:r w:rsidR="000631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3139" w:rsidRDefault="00063139" w:rsidP="000631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74" w:type="dxa"/>
        <w:tblInd w:w="-601" w:type="dxa"/>
        <w:tblLayout w:type="fixed"/>
        <w:tblLook w:val="04A0"/>
      </w:tblPr>
      <w:tblGrid>
        <w:gridCol w:w="427"/>
        <w:gridCol w:w="712"/>
        <w:gridCol w:w="1279"/>
        <w:gridCol w:w="2274"/>
        <w:gridCol w:w="1848"/>
        <w:gridCol w:w="568"/>
        <w:gridCol w:w="711"/>
        <w:gridCol w:w="568"/>
        <w:gridCol w:w="426"/>
        <w:gridCol w:w="426"/>
        <w:gridCol w:w="568"/>
        <w:gridCol w:w="711"/>
        <w:gridCol w:w="568"/>
        <w:gridCol w:w="852"/>
        <w:gridCol w:w="853"/>
        <w:gridCol w:w="568"/>
        <w:gridCol w:w="852"/>
        <w:gridCol w:w="568"/>
        <w:gridCol w:w="995"/>
      </w:tblGrid>
      <w:tr w:rsidR="005608E0" w:rsidRPr="001F1658" w:rsidTr="005608E0">
        <w:trPr>
          <w:trHeight w:val="555"/>
        </w:trPr>
        <w:tc>
          <w:tcPr>
            <w:tcW w:w="427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Регистрационный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№ маршрута</w:t>
            </w:r>
          </w:p>
        </w:tc>
        <w:tc>
          <w:tcPr>
            <w:tcW w:w="712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Порядковый номер маршрута</w:t>
            </w:r>
          </w:p>
        </w:tc>
        <w:tc>
          <w:tcPr>
            <w:tcW w:w="1279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Наименование маршрута</w:t>
            </w:r>
          </w:p>
        </w:tc>
        <w:tc>
          <w:tcPr>
            <w:tcW w:w="2274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Наименование промежуточных остановочных  пунктов   по маршруту регулярных перевозок</w:t>
            </w:r>
          </w:p>
        </w:tc>
        <w:tc>
          <w:tcPr>
            <w:tcW w:w="1848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Наименования улиц, автомобильных дорог по которым проходит трас</w:t>
            </w:r>
            <w:r>
              <w:rPr>
                <w:b/>
                <w:bCs/>
                <w:sz w:val="18"/>
                <w:szCs w:val="18"/>
              </w:rPr>
              <w:t>са</w:t>
            </w:r>
            <w:r w:rsidRPr="001F1658">
              <w:rPr>
                <w:b/>
                <w:bCs/>
                <w:sz w:val="18"/>
                <w:szCs w:val="18"/>
              </w:rPr>
              <w:t xml:space="preserve"> движения</w:t>
            </w:r>
          </w:p>
        </w:tc>
        <w:tc>
          <w:tcPr>
            <w:tcW w:w="568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Протяженность маршрута   в прямом направлении (</w:t>
            </w:r>
            <w:proofErr w:type="gramStart"/>
            <w:r w:rsidRPr="001F1658">
              <w:rPr>
                <w:b/>
                <w:bCs/>
                <w:sz w:val="18"/>
                <w:szCs w:val="18"/>
              </w:rPr>
              <w:t>км</w:t>
            </w:r>
            <w:proofErr w:type="gramEnd"/>
            <w:r w:rsidRPr="001F165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1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Протяженность маршрута    в обратном направлении (</w:t>
            </w:r>
            <w:proofErr w:type="gramStart"/>
            <w:r w:rsidRPr="001F1658">
              <w:rPr>
                <w:b/>
                <w:bCs/>
                <w:sz w:val="18"/>
                <w:szCs w:val="18"/>
              </w:rPr>
              <w:t>км</w:t>
            </w:r>
            <w:proofErr w:type="gramEnd"/>
            <w:r w:rsidRPr="001F165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8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3125" w:type="dxa"/>
            <w:gridSpan w:val="5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Характеристики транспортного средства</w:t>
            </w:r>
          </w:p>
        </w:tc>
        <w:tc>
          <w:tcPr>
            <w:tcW w:w="853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Характеристики транспортных средств, влияющие на качество перевозок</w:t>
            </w:r>
            <w:r w:rsidRPr="001F1658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8" w:type="dxa"/>
            <w:vMerge w:val="restart"/>
            <w:textDirection w:val="btLr"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действия контракта/срок действия  свидетельства</w:t>
            </w:r>
          </w:p>
        </w:tc>
        <w:tc>
          <w:tcPr>
            <w:tcW w:w="852" w:type="dxa"/>
            <w:vMerge w:val="restart"/>
            <w:textDirection w:val="btLr"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заключения контракта/предоставлении права осуществления перевозок</w:t>
            </w:r>
          </w:p>
        </w:tc>
        <w:tc>
          <w:tcPr>
            <w:tcW w:w="568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995" w:type="dxa"/>
            <w:vMerge w:val="restart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 xml:space="preserve">Наименование, место нахождения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ю</w:t>
            </w:r>
            <w:proofErr w:type="spellEnd"/>
            <w:r>
              <w:rPr>
                <w:b/>
                <w:bCs/>
                <w:sz w:val="18"/>
                <w:szCs w:val="18"/>
              </w:rPr>
              <w:t>/л</w:t>
            </w:r>
            <w:r w:rsidRPr="001F165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Ф.И.О ИП</w:t>
            </w:r>
            <w:r w:rsidRPr="001F1658">
              <w:rPr>
                <w:b/>
                <w:bCs/>
                <w:sz w:val="18"/>
                <w:szCs w:val="18"/>
              </w:rPr>
              <w:t>, осуществляющих перевозки по маршруту</w:t>
            </w:r>
          </w:p>
        </w:tc>
      </w:tr>
      <w:tr w:rsidR="005608E0" w:rsidRPr="0091118A" w:rsidTr="005608E0">
        <w:trPr>
          <w:trHeight w:val="2386"/>
        </w:trPr>
        <w:tc>
          <w:tcPr>
            <w:tcW w:w="427" w:type="dxa"/>
            <w:vMerge/>
            <w:hideMark/>
          </w:tcPr>
          <w:p w:rsidR="005608E0" w:rsidRPr="00124C99" w:rsidRDefault="005608E0" w:rsidP="00947D3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1279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2274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1848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568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568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426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426" w:type="dxa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568" w:type="dxa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711" w:type="dxa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Максимальный срок эксплуатации</w:t>
            </w:r>
          </w:p>
        </w:tc>
        <w:tc>
          <w:tcPr>
            <w:tcW w:w="568" w:type="dxa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Максимальное количество</w:t>
            </w:r>
          </w:p>
        </w:tc>
        <w:tc>
          <w:tcPr>
            <w:tcW w:w="852" w:type="dxa"/>
            <w:textDirection w:val="btLr"/>
            <w:hideMark/>
          </w:tcPr>
          <w:p w:rsidR="005608E0" w:rsidRPr="001F1658" w:rsidRDefault="005608E0" w:rsidP="00947D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658">
              <w:rPr>
                <w:b/>
                <w:bCs/>
                <w:sz w:val="18"/>
                <w:szCs w:val="18"/>
              </w:rPr>
              <w:t>Экологические характеристики</w:t>
            </w:r>
          </w:p>
        </w:tc>
        <w:tc>
          <w:tcPr>
            <w:tcW w:w="853" w:type="dxa"/>
            <w:vMerge/>
            <w:hideMark/>
          </w:tcPr>
          <w:p w:rsidR="005608E0" w:rsidRPr="0091118A" w:rsidRDefault="005608E0" w:rsidP="00947D3A">
            <w:pPr>
              <w:jc w:val="center"/>
              <w:rPr>
                <w:b/>
                <w:bCs/>
              </w:rPr>
            </w:pPr>
          </w:p>
        </w:tc>
        <w:tc>
          <w:tcPr>
            <w:tcW w:w="568" w:type="dxa"/>
            <w:vMerge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852" w:type="dxa"/>
            <w:vMerge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568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  <w:tc>
          <w:tcPr>
            <w:tcW w:w="995" w:type="dxa"/>
            <w:vMerge/>
            <w:hideMark/>
          </w:tcPr>
          <w:p w:rsidR="005608E0" w:rsidRPr="0091118A" w:rsidRDefault="005608E0" w:rsidP="00947D3A">
            <w:pPr>
              <w:rPr>
                <w:b/>
                <w:bCs/>
              </w:rPr>
            </w:pPr>
          </w:p>
        </w:tc>
      </w:tr>
      <w:tr w:rsidR="005608E0" w:rsidRPr="001F1658" w:rsidTr="005608E0">
        <w:trPr>
          <w:trHeight w:val="300"/>
        </w:trPr>
        <w:tc>
          <w:tcPr>
            <w:tcW w:w="427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3</w:t>
            </w:r>
          </w:p>
        </w:tc>
        <w:tc>
          <w:tcPr>
            <w:tcW w:w="2274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4</w:t>
            </w:r>
          </w:p>
        </w:tc>
        <w:tc>
          <w:tcPr>
            <w:tcW w:w="1848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5</w:t>
            </w:r>
          </w:p>
        </w:tc>
        <w:tc>
          <w:tcPr>
            <w:tcW w:w="568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10</w:t>
            </w:r>
          </w:p>
        </w:tc>
        <w:tc>
          <w:tcPr>
            <w:tcW w:w="568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12</w:t>
            </w:r>
          </w:p>
        </w:tc>
        <w:tc>
          <w:tcPr>
            <w:tcW w:w="568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13</w:t>
            </w:r>
          </w:p>
        </w:tc>
        <w:tc>
          <w:tcPr>
            <w:tcW w:w="852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14</w:t>
            </w:r>
          </w:p>
        </w:tc>
        <w:tc>
          <w:tcPr>
            <w:tcW w:w="853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 w:rsidRPr="001F1658">
              <w:rPr>
                <w:sz w:val="18"/>
                <w:szCs w:val="18"/>
              </w:rPr>
              <w:t>15</w:t>
            </w:r>
          </w:p>
        </w:tc>
        <w:tc>
          <w:tcPr>
            <w:tcW w:w="568" w:type="dxa"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2" w:type="dxa"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8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5" w:type="dxa"/>
            <w:hideMark/>
          </w:tcPr>
          <w:p w:rsidR="005608E0" w:rsidRPr="001F1658" w:rsidRDefault="005608E0" w:rsidP="0094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1836D5" w:rsidRPr="00124C99" w:rsidTr="005608E0">
        <w:trPr>
          <w:cantSplit/>
          <w:trHeight w:val="2979"/>
        </w:trPr>
        <w:tc>
          <w:tcPr>
            <w:tcW w:w="427" w:type="dxa"/>
            <w:hideMark/>
          </w:tcPr>
          <w:p w:rsidR="001836D5" w:rsidRPr="00124C99" w:rsidRDefault="001836D5" w:rsidP="0094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12" w:type="dxa"/>
            <w:hideMark/>
          </w:tcPr>
          <w:p w:rsidR="001836D5" w:rsidRPr="00124C99" w:rsidRDefault="001836D5" w:rsidP="005608E0">
            <w:pPr>
              <w:jc w:val="center"/>
              <w:rPr>
                <w:sz w:val="16"/>
                <w:szCs w:val="16"/>
              </w:rPr>
            </w:pPr>
            <w:r w:rsidRPr="00124C99">
              <w:rPr>
                <w:sz w:val="16"/>
                <w:szCs w:val="16"/>
              </w:rPr>
              <w:t xml:space="preserve"> 57</w:t>
            </w:r>
            <w:r>
              <w:rPr>
                <w:sz w:val="16"/>
                <w:szCs w:val="16"/>
              </w:rPr>
              <w:t>2-К</w:t>
            </w:r>
          </w:p>
        </w:tc>
        <w:tc>
          <w:tcPr>
            <w:tcW w:w="1279" w:type="dxa"/>
            <w:hideMark/>
          </w:tcPr>
          <w:p w:rsidR="001836D5" w:rsidRPr="00520367" w:rsidRDefault="001836D5" w:rsidP="0094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г.Кировск, </w:t>
            </w:r>
            <w:proofErr w:type="spellStart"/>
            <w:r>
              <w:rPr>
                <w:sz w:val="16"/>
                <w:szCs w:val="16"/>
              </w:rPr>
              <w:t>автостанция-п.Мга</w:t>
            </w:r>
            <w:proofErr w:type="spellEnd"/>
            <w:r>
              <w:rPr>
                <w:sz w:val="16"/>
                <w:szCs w:val="16"/>
              </w:rPr>
              <w:t>, кольцо</w:t>
            </w:r>
          </w:p>
        </w:tc>
        <w:tc>
          <w:tcPr>
            <w:tcW w:w="2274" w:type="dxa"/>
            <w:hideMark/>
          </w:tcPr>
          <w:p w:rsidR="001836D5" w:rsidRPr="00520367" w:rsidRDefault="001836D5" w:rsidP="00947D3A">
            <w:pPr>
              <w:jc w:val="center"/>
              <w:rPr>
                <w:sz w:val="16"/>
                <w:szCs w:val="16"/>
              </w:rPr>
            </w:pPr>
            <w:r w:rsidRPr="00124C99">
              <w:rPr>
                <w:sz w:val="16"/>
                <w:szCs w:val="16"/>
              </w:rPr>
              <w:t xml:space="preserve">Кировск, автостанция -Театральная пл.- больница- магазин "Новосел" </w:t>
            </w:r>
            <w:r>
              <w:rPr>
                <w:sz w:val="16"/>
                <w:szCs w:val="16"/>
              </w:rPr>
              <w:t>- ж/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ст. </w:t>
            </w:r>
            <w:proofErr w:type="spellStart"/>
            <w:r>
              <w:rPr>
                <w:sz w:val="16"/>
                <w:szCs w:val="16"/>
              </w:rPr>
              <w:t>Невдубстрой</w:t>
            </w:r>
            <w:proofErr w:type="spellEnd"/>
            <w:r>
              <w:rPr>
                <w:sz w:val="16"/>
                <w:szCs w:val="16"/>
              </w:rPr>
              <w:t xml:space="preserve"> - Дорога в СНТ </w:t>
            </w:r>
            <w:proofErr w:type="spellStart"/>
            <w:r>
              <w:rPr>
                <w:sz w:val="16"/>
                <w:szCs w:val="16"/>
              </w:rPr>
              <w:t>Невдубстрой</w:t>
            </w:r>
            <w:proofErr w:type="spellEnd"/>
            <w:r>
              <w:rPr>
                <w:sz w:val="16"/>
                <w:szCs w:val="16"/>
              </w:rPr>
              <w:t xml:space="preserve">  (по требованию) - Дорога в СНТ Дружба, 5 км (по требованию) - Дорога в СНТ Грибное, </w:t>
            </w:r>
            <w:r w:rsidRPr="00124C99">
              <w:rPr>
                <w:sz w:val="16"/>
                <w:szCs w:val="16"/>
              </w:rPr>
              <w:t xml:space="preserve">6 км (по требованию) </w:t>
            </w:r>
            <w:r>
              <w:rPr>
                <w:sz w:val="16"/>
                <w:szCs w:val="16"/>
              </w:rPr>
              <w:t>-</w:t>
            </w:r>
            <w:r w:rsidRPr="00124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Дорога в СНТ Ласточка,</w:t>
            </w:r>
            <w:r w:rsidRPr="00124C99">
              <w:rPr>
                <w:sz w:val="16"/>
                <w:szCs w:val="16"/>
              </w:rPr>
              <w:t xml:space="preserve">8 км  (по требованию) </w:t>
            </w:r>
            <w:r>
              <w:rPr>
                <w:sz w:val="16"/>
                <w:szCs w:val="16"/>
              </w:rPr>
              <w:t>-</w:t>
            </w:r>
            <w:r w:rsidRPr="00124C9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</w:t>
            </w:r>
            <w:r w:rsidRPr="00124C99">
              <w:rPr>
                <w:sz w:val="16"/>
                <w:szCs w:val="16"/>
              </w:rPr>
              <w:t>Молодцово</w:t>
            </w:r>
            <w:proofErr w:type="spellEnd"/>
            <w:r w:rsidRPr="00124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24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дорога в СНТ Василеостровец,</w:t>
            </w:r>
            <w:r w:rsidRPr="00124C99">
              <w:rPr>
                <w:sz w:val="16"/>
                <w:szCs w:val="16"/>
              </w:rPr>
              <w:t xml:space="preserve">11 км.  (по требованию) </w:t>
            </w:r>
            <w:r>
              <w:rPr>
                <w:sz w:val="16"/>
                <w:szCs w:val="16"/>
              </w:rPr>
              <w:t>- Дорога в СНТ Выборгское,</w:t>
            </w:r>
            <w:r w:rsidRPr="00124C99">
              <w:rPr>
                <w:sz w:val="16"/>
                <w:szCs w:val="16"/>
              </w:rPr>
              <w:t xml:space="preserve"> 12 км  (по требованию) </w:t>
            </w:r>
            <w:r>
              <w:rPr>
                <w:sz w:val="16"/>
                <w:szCs w:val="16"/>
              </w:rPr>
              <w:t>-</w:t>
            </w:r>
            <w:r w:rsidRPr="00124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Михайловский (по требованию)</w:t>
            </w:r>
            <w:r w:rsidRPr="00124C99">
              <w:rPr>
                <w:sz w:val="16"/>
                <w:szCs w:val="16"/>
              </w:rPr>
              <w:t xml:space="preserve"> - Мга,</w:t>
            </w:r>
            <w:r>
              <w:rPr>
                <w:sz w:val="16"/>
                <w:szCs w:val="16"/>
              </w:rPr>
              <w:t xml:space="preserve"> Советский </w:t>
            </w:r>
            <w:proofErr w:type="spellStart"/>
            <w:r>
              <w:rPr>
                <w:sz w:val="16"/>
                <w:szCs w:val="16"/>
              </w:rPr>
              <w:t>пр.-п.Мга,школа</w:t>
            </w:r>
            <w:proofErr w:type="spellEnd"/>
            <w:r>
              <w:rPr>
                <w:sz w:val="16"/>
                <w:szCs w:val="16"/>
              </w:rPr>
              <w:t xml:space="preserve"> (только туда)</w:t>
            </w:r>
            <w:r w:rsidRPr="00124C99">
              <w:rPr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1848" w:type="dxa"/>
            <w:hideMark/>
          </w:tcPr>
          <w:p w:rsidR="001836D5" w:rsidRDefault="001836D5" w:rsidP="00947D3A">
            <w:pPr>
              <w:jc w:val="center"/>
              <w:rPr>
                <w:sz w:val="16"/>
                <w:szCs w:val="16"/>
              </w:rPr>
            </w:pPr>
            <w:r w:rsidRPr="00124C99">
              <w:rPr>
                <w:sz w:val="16"/>
                <w:szCs w:val="16"/>
              </w:rPr>
              <w:t>а/</w:t>
            </w:r>
            <w:proofErr w:type="spellStart"/>
            <w:r w:rsidRPr="00124C99">
              <w:rPr>
                <w:sz w:val="16"/>
                <w:szCs w:val="16"/>
              </w:rPr>
              <w:t>д</w:t>
            </w:r>
            <w:proofErr w:type="spellEnd"/>
            <w:r w:rsidRPr="00124C99">
              <w:rPr>
                <w:sz w:val="16"/>
                <w:szCs w:val="16"/>
              </w:rPr>
              <w:t xml:space="preserve"> Санкт- Петербург -  Кировск- </w:t>
            </w:r>
            <w:proofErr w:type="spellStart"/>
            <w:r>
              <w:rPr>
                <w:sz w:val="16"/>
                <w:szCs w:val="16"/>
              </w:rPr>
              <w:t>ул.Советская-ул.Краснофлотская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1836D5" w:rsidRDefault="001836D5" w:rsidP="00947D3A">
            <w:pPr>
              <w:jc w:val="center"/>
              <w:rPr>
                <w:sz w:val="16"/>
                <w:szCs w:val="16"/>
              </w:rPr>
            </w:pPr>
            <w:r w:rsidRPr="00124C99">
              <w:rPr>
                <w:sz w:val="16"/>
                <w:szCs w:val="16"/>
              </w:rPr>
              <w:t>а/</w:t>
            </w:r>
            <w:proofErr w:type="spellStart"/>
            <w:r w:rsidRPr="00124C99">
              <w:rPr>
                <w:sz w:val="16"/>
                <w:szCs w:val="16"/>
              </w:rPr>
              <w:t>д</w:t>
            </w:r>
            <w:proofErr w:type="spellEnd"/>
            <w:r w:rsidRPr="00124C99">
              <w:rPr>
                <w:sz w:val="16"/>
                <w:szCs w:val="16"/>
              </w:rPr>
              <w:t xml:space="preserve"> Магистральная</w:t>
            </w:r>
            <w:r>
              <w:rPr>
                <w:sz w:val="16"/>
                <w:szCs w:val="16"/>
              </w:rPr>
              <w:t xml:space="preserve"> (</w:t>
            </w:r>
            <w:r w:rsidRPr="00124C99">
              <w:rPr>
                <w:sz w:val="16"/>
                <w:szCs w:val="16"/>
              </w:rPr>
              <w:t>а/</w:t>
            </w:r>
            <w:proofErr w:type="spellStart"/>
            <w:r w:rsidRPr="00124C99">
              <w:rPr>
                <w:sz w:val="16"/>
                <w:szCs w:val="16"/>
              </w:rPr>
              <w:t>д</w:t>
            </w:r>
            <w:proofErr w:type="spellEnd"/>
            <w:r w:rsidRPr="00124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Санкт-Петербургское южное полукольцо) -а/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«Подъезд к </w:t>
            </w:r>
            <w:proofErr w:type="spellStart"/>
            <w:r>
              <w:rPr>
                <w:sz w:val="16"/>
                <w:szCs w:val="16"/>
              </w:rPr>
              <w:t>Молодцово</w:t>
            </w:r>
            <w:proofErr w:type="spellEnd"/>
            <w:r>
              <w:rPr>
                <w:sz w:val="16"/>
                <w:szCs w:val="16"/>
              </w:rPr>
              <w:t>»</w:t>
            </w:r>
            <w:r w:rsidRPr="00124C99">
              <w:rPr>
                <w:sz w:val="16"/>
                <w:szCs w:val="16"/>
              </w:rPr>
              <w:t xml:space="preserve">  -</w:t>
            </w:r>
            <w:r>
              <w:rPr>
                <w:sz w:val="16"/>
                <w:szCs w:val="16"/>
              </w:rPr>
              <w:t xml:space="preserve"> а/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Санкт-Петербургское южное полукольцо-</w:t>
            </w:r>
          </w:p>
          <w:p w:rsidR="001836D5" w:rsidRPr="00520367" w:rsidRDefault="001836D5" w:rsidP="00947D3A">
            <w:pPr>
              <w:jc w:val="center"/>
              <w:rPr>
                <w:sz w:val="16"/>
                <w:szCs w:val="16"/>
              </w:rPr>
            </w:pPr>
            <w:r w:rsidRPr="00124C99">
              <w:rPr>
                <w:sz w:val="16"/>
                <w:szCs w:val="16"/>
              </w:rPr>
              <w:t xml:space="preserve">п. Мга, Советский пр.- ул. Вокзальная -  </w:t>
            </w:r>
            <w:proofErr w:type="spellStart"/>
            <w:r>
              <w:rPr>
                <w:sz w:val="16"/>
                <w:szCs w:val="16"/>
              </w:rPr>
              <w:t>ул.Железнодорожная-ул.Шмидта</w:t>
            </w:r>
            <w:proofErr w:type="spellEnd"/>
            <w:r>
              <w:rPr>
                <w:sz w:val="16"/>
                <w:szCs w:val="16"/>
              </w:rPr>
              <w:t>- Советский пр.</w:t>
            </w:r>
            <w:r w:rsidRPr="00124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а/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 w:rsidRPr="00124C99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Санкт-Петербургское южное полукольцо- а/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Павлово-Мга-Шапки-Любань-Оредеж-Луга</w:t>
            </w:r>
            <w:proofErr w:type="spellEnd"/>
          </w:p>
        </w:tc>
        <w:tc>
          <w:tcPr>
            <w:tcW w:w="568" w:type="dxa"/>
            <w:hideMark/>
          </w:tcPr>
          <w:p w:rsidR="001836D5" w:rsidRDefault="001836D5" w:rsidP="0094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711" w:type="dxa"/>
            <w:hideMark/>
          </w:tcPr>
          <w:p w:rsidR="001836D5" w:rsidRDefault="001836D5" w:rsidP="00947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568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426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нерегулируемому тарифу</w:t>
            </w:r>
          </w:p>
        </w:tc>
        <w:tc>
          <w:tcPr>
            <w:tcW w:w="426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</w:t>
            </w:r>
          </w:p>
        </w:tc>
        <w:tc>
          <w:tcPr>
            <w:tcW w:w="568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</w:p>
        </w:tc>
        <w:tc>
          <w:tcPr>
            <w:tcW w:w="711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7 лет </w:t>
            </w:r>
          </w:p>
        </w:tc>
        <w:tc>
          <w:tcPr>
            <w:tcW w:w="568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Евро 3 и выше</w:t>
            </w:r>
          </w:p>
        </w:tc>
        <w:tc>
          <w:tcPr>
            <w:tcW w:w="853" w:type="dxa"/>
            <w:textDirection w:val="btLr"/>
            <w:hideMark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безналичной оплаты проезда, система видеонаблюдения</w:t>
            </w:r>
          </w:p>
        </w:tc>
        <w:tc>
          <w:tcPr>
            <w:tcW w:w="568" w:type="dxa"/>
            <w:textDirection w:val="btLr"/>
          </w:tcPr>
          <w:p w:rsidR="001836D5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28.02.2031</w:t>
            </w:r>
          </w:p>
        </w:tc>
        <w:tc>
          <w:tcPr>
            <w:tcW w:w="852" w:type="dxa"/>
            <w:textDirection w:val="btLr"/>
          </w:tcPr>
          <w:p w:rsidR="001836D5" w:rsidRPr="00124C99" w:rsidRDefault="001836D5" w:rsidP="001836D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01.03.2026</w:t>
            </w:r>
          </w:p>
        </w:tc>
        <w:tc>
          <w:tcPr>
            <w:tcW w:w="568" w:type="dxa"/>
            <w:textDirection w:val="btLr"/>
            <w:hideMark/>
          </w:tcPr>
          <w:p w:rsidR="001836D5" w:rsidRPr="00124C99" w:rsidRDefault="00B46D63" w:rsidP="00B46D6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заявкой Заказчика</w:t>
            </w:r>
          </w:p>
        </w:tc>
        <w:tc>
          <w:tcPr>
            <w:tcW w:w="995" w:type="dxa"/>
            <w:textDirection w:val="btLr"/>
            <w:hideMark/>
          </w:tcPr>
          <w:p w:rsidR="001836D5" w:rsidRPr="00944F40" w:rsidRDefault="001836D5" w:rsidP="00947D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Иванова Ольга Ивановна. Ленинградская область, Кировский район, г.Отрадное, ул.Гагарина, д.16, кв.36, ОГРНИП 320470400031232</w:t>
            </w:r>
          </w:p>
        </w:tc>
      </w:tr>
    </w:tbl>
    <w:p w:rsidR="005608E0" w:rsidRDefault="005608E0" w:rsidP="001836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5E2B" w:rsidRDefault="00063139" w:rsidP="000631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8B5E2B" w:rsidRDefault="008B5E2B" w:rsidP="000631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B0A" w:rsidRPr="00B1205F" w:rsidRDefault="008B5E2B" w:rsidP="00BE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5864B3" w:rsidRPr="00D940C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D940C6" w:rsidRPr="00D940C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="00063139">
        <w:rPr>
          <w:rFonts w:ascii="Times New Roman" w:hAnsi="Times New Roman" w:cs="Times New Roman"/>
        </w:rPr>
        <w:t xml:space="preserve">  </w:t>
      </w:r>
      <w:r w:rsidR="00BE1B0A" w:rsidRPr="00FA32ED">
        <w:rPr>
          <w:rFonts w:ascii="Times New Roman" w:hAnsi="Times New Roman" w:cs="Times New Roman"/>
          <w:sz w:val="20"/>
          <w:szCs w:val="20"/>
        </w:rPr>
        <w:t>Приложение</w:t>
      </w:r>
      <w:r w:rsidR="00BE1B0A">
        <w:rPr>
          <w:rFonts w:ascii="Times New Roman" w:hAnsi="Times New Roman" w:cs="Times New Roman"/>
          <w:sz w:val="20"/>
          <w:szCs w:val="20"/>
        </w:rPr>
        <w:t xml:space="preserve"> </w:t>
      </w:r>
      <w:r w:rsidR="00BE1B0A" w:rsidRPr="00B1205F">
        <w:rPr>
          <w:rFonts w:ascii="Times New Roman" w:hAnsi="Times New Roman" w:cs="Times New Roman"/>
          <w:sz w:val="20"/>
          <w:szCs w:val="20"/>
        </w:rPr>
        <w:t>2</w:t>
      </w:r>
    </w:p>
    <w:p w:rsidR="00BE1B0A" w:rsidRPr="00FA32ED" w:rsidRDefault="00BE1B0A" w:rsidP="00BE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к</w:t>
      </w:r>
      <w:r w:rsidRPr="00FA32ED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</w:t>
      </w:r>
    </w:p>
    <w:p w:rsidR="00BE1B0A" w:rsidRDefault="00BE1B0A" w:rsidP="00BE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A32ED">
        <w:rPr>
          <w:rFonts w:ascii="Times New Roman" w:hAnsi="Times New Roman" w:cs="Times New Roman"/>
          <w:sz w:val="20"/>
          <w:szCs w:val="20"/>
        </w:rPr>
        <w:t>Кировского муниципального района</w:t>
      </w:r>
    </w:p>
    <w:p w:rsidR="00BE1B0A" w:rsidRDefault="00BE1B0A" w:rsidP="00BE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Ленинградской области</w:t>
      </w:r>
    </w:p>
    <w:p w:rsidR="00BE1B0A" w:rsidRDefault="00BE1B0A" w:rsidP="00BE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47882">
        <w:rPr>
          <w:rFonts w:ascii="Times New Roman" w:hAnsi="Times New Roman" w:cs="Times New Roman"/>
          <w:sz w:val="20"/>
          <w:szCs w:val="20"/>
        </w:rPr>
        <w:t>от 10 марта 2026 г. № 378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1B0A" w:rsidRDefault="00BE1B0A" w:rsidP="00BE1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743" w:type="dxa"/>
        <w:tblLayout w:type="fixed"/>
        <w:tblLook w:val="04A0"/>
      </w:tblPr>
      <w:tblGrid>
        <w:gridCol w:w="988"/>
        <w:gridCol w:w="1699"/>
        <w:gridCol w:w="1418"/>
        <w:gridCol w:w="2266"/>
        <w:gridCol w:w="859"/>
        <w:gridCol w:w="709"/>
        <w:gridCol w:w="1134"/>
        <w:gridCol w:w="709"/>
        <w:gridCol w:w="992"/>
        <w:gridCol w:w="850"/>
        <w:gridCol w:w="567"/>
        <w:gridCol w:w="567"/>
        <w:gridCol w:w="567"/>
        <w:gridCol w:w="709"/>
        <w:gridCol w:w="992"/>
        <w:gridCol w:w="709"/>
      </w:tblGrid>
      <w:tr w:rsidR="001A5855" w:rsidTr="00063139">
        <w:trPr>
          <w:trHeight w:val="505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 номер маршрута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маршрута регулярных перевозок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маршрута регулярных перевозок</w:t>
            </w:r>
          </w:p>
        </w:tc>
        <w:tc>
          <w:tcPr>
            <w:tcW w:w="2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остановочных пунктов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промежуточные, конечные)</w:t>
            </w:r>
          </w:p>
        </w:tc>
        <w:tc>
          <w:tcPr>
            <w:tcW w:w="52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Круглогодичный период, определенный муниципальным образованием</w:t>
            </w:r>
          </w:p>
        </w:tc>
        <w:tc>
          <w:tcPr>
            <w:tcW w:w="41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Летний период, определенный муниципальным образованием</w:t>
            </w:r>
          </w:p>
        </w:tc>
      </w:tr>
      <w:tr w:rsidR="001A5855" w:rsidTr="00063139">
        <w:trPr>
          <w:cantSplit/>
          <w:trHeight w:val="1563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855" w:rsidRDefault="001A5855" w:rsidP="00947D3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855" w:rsidRDefault="001A5855" w:rsidP="00947D3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855" w:rsidRDefault="001A5855" w:rsidP="00947D3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855" w:rsidRDefault="001A5855" w:rsidP="00947D3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отправления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стоянки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прибытия рейсов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прибытия рейсов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 расписания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отправления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стоянки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Дни прибытия рейсов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947D3A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прибытия рейсов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855" w:rsidRDefault="001A5855" w:rsidP="005864B3">
            <w:pPr>
              <w:spacing w:after="0" w:line="240" w:lineRule="auto"/>
              <w:ind w:left="-709" w:right="113" w:hanging="142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</w:t>
            </w:r>
          </w:p>
          <w:p w:rsidR="001A5855" w:rsidRDefault="001A5855" w:rsidP="005864B3">
            <w:pPr>
              <w:spacing w:after="0" w:line="240" w:lineRule="auto"/>
              <w:ind w:left="-709" w:right="113" w:hanging="142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расписания</w:t>
            </w:r>
          </w:p>
        </w:tc>
      </w:tr>
      <w:tr w:rsidR="001A5855" w:rsidTr="00063139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855" w:rsidRDefault="001A5855" w:rsidP="00947D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63139" w:rsidTr="00063139">
        <w:trPr>
          <w:cantSplit/>
          <w:trHeight w:val="113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Pr="004D5DA5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ировск,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автостанция-п.Мга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кольцо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Pr="004D5DA5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572-К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Pr="004D5DA5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Кировск, автостанция -Театральная пл.- больница- магазин "Новосел"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ж/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Невдубстрой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Дорога в СНТ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Невдубстрой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(по требованию) - Дорога в СНТ Дружба, 5 км (по требованию) - Дорога в СНТ Грибное, 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6 км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Ласточка,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8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>олодцово</w:t>
            </w:r>
            <w:proofErr w:type="spellEnd"/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дорога в СНТ Василеостровец,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11 км.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Дорога в СНТ Выборгское,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12 км  (по требованию)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Михайловский (по требованию)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Мга,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Советский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пр.-п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га,школа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(только туда)</w:t>
            </w:r>
            <w:r w:rsidRPr="00124C99">
              <w:rPr>
                <w:rFonts w:ascii="Times New Roman" w:hAnsi="Times New Roman" w:cs="Times New Roman"/>
                <w:sz w:val="16"/>
                <w:szCs w:val="16"/>
              </w:rPr>
              <w:t xml:space="preserve"> - п. Мга , вокзал (только туда) - п. Мга, кольцо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Pr="004D5DA5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прямом направлении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05:10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05:40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обратном направлении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19:20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20:00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Рабочие дни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947D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05:50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06:20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20:00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20:40</w:t>
            </w:r>
          </w:p>
          <w:p w:rsidR="00063139" w:rsidRDefault="00063139" w:rsidP="0006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21:40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Круглогодично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39" w:rsidRDefault="00063139" w:rsidP="00947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1A5855" w:rsidRDefault="001A5855" w:rsidP="001836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5855" w:rsidSect="005608E0">
      <w:pgSz w:w="16838" w:h="11906" w:orient="landscape"/>
      <w:pgMar w:top="1134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FDB"/>
    <w:multiLevelType w:val="hybridMultilevel"/>
    <w:tmpl w:val="99ACCECA"/>
    <w:lvl w:ilvl="0" w:tplc="A2B6D00E">
      <w:start w:val="4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D5C0697"/>
    <w:multiLevelType w:val="hybridMultilevel"/>
    <w:tmpl w:val="4FAA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2E5"/>
    <w:multiLevelType w:val="multilevel"/>
    <w:tmpl w:val="3AE6F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1226718"/>
    <w:multiLevelType w:val="hybridMultilevel"/>
    <w:tmpl w:val="5F7A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6551"/>
    <w:multiLevelType w:val="hybridMultilevel"/>
    <w:tmpl w:val="198454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C45F2"/>
    <w:multiLevelType w:val="hybridMultilevel"/>
    <w:tmpl w:val="41C223EE"/>
    <w:lvl w:ilvl="0" w:tplc="C80CEBEE">
      <w:start w:val="1"/>
      <w:numFmt w:val="decimal"/>
      <w:lvlText w:val="%1."/>
      <w:lvlJc w:val="left"/>
      <w:pPr>
        <w:ind w:left="1290" w:hanging="58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64559A"/>
    <w:multiLevelType w:val="hybridMultilevel"/>
    <w:tmpl w:val="17A6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67C8"/>
    <w:multiLevelType w:val="hybridMultilevel"/>
    <w:tmpl w:val="4228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B9B"/>
    <w:rsid w:val="00034113"/>
    <w:rsid w:val="00063139"/>
    <w:rsid w:val="000E7BB8"/>
    <w:rsid w:val="001114DD"/>
    <w:rsid w:val="00136842"/>
    <w:rsid w:val="00142E0A"/>
    <w:rsid w:val="00166393"/>
    <w:rsid w:val="00180BAF"/>
    <w:rsid w:val="001836D5"/>
    <w:rsid w:val="00186F61"/>
    <w:rsid w:val="001A5855"/>
    <w:rsid w:val="00206D67"/>
    <w:rsid w:val="00224D6B"/>
    <w:rsid w:val="00237B6D"/>
    <w:rsid w:val="002418A9"/>
    <w:rsid w:val="00253610"/>
    <w:rsid w:val="002E7B76"/>
    <w:rsid w:val="002F7221"/>
    <w:rsid w:val="0031428E"/>
    <w:rsid w:val="00330F43"/>
    <w:rsid w:val="00332A04"/>
    <w:rsid w:val="00365EA7"/>
    <w:rsid w:val="00381322"/>
    <w:rsid w:val="00386D86"/>
    <w:rsid w:val="003D333E"/>
    <w:rsid w:val="003E2131"/>
    <w:rsid w:val="00402665"/>
    <w:rsid w:val="00403B34"/>
    <w:rsid w:val="00481879"/>
    <w:rsid w:val="004B0751"/>
    <w:rsid w:val="004B2E10"/>
    <w:rsid w:val="004B53E4"/>
    <w:rsid w:val="004D29A1"/>
    <w:rsid w:val="00546B67"/>
    <w:rsid w:val="005608E0"/>
    <w:rsid w:val="00561E17"/>
    <w:rsid w:val="0056720A"/>
    <w:rsid w:val="005708CD"/>
    <w:rsid w:val="00584B9B"/>
    <w:rsid w:val="005864B3"/>
    <w:rsid w:val="005902DF"/>
    <w:rsid w:val="005A6A14"/>
    <w:rsid w:val="005C1E53"/>
    <w:rsid w:val="005C68F3"/>
    <w:rsid w:val="005E0C1F"/>
    <w:rsid w:val="006102AD"/>
    <w:rsid w:val="006146FB"/>
    <w:rsid w:val="006264EE"/>
    <w:rsid w:val="006304F9"/>
    <w:rsid w:val="00635F12"/>
    <w:rsid w:val="00642A01"/>
    <w:rsid w:val="00663DCA"/>
    <w:rsid w:val="00667129"/>
    <w:rsid w:val="006B082A"/>
    <w:rsid w:val="006B58BF"/>
    <w:rsid w:val="006C7DDB"/>
    <w:rsid w:val="006D1945"/>
    <w:rsid w:val="006F74B7"/>
    <w:rsid w:val="007510CB"/>
    <w:rsid w:val="007A6680"/>
    <w:rsid w:val="007E4484"/>
    <w:rsid w:val="00802639"/>
    <w:rsid w:val="00847B0D"/>
    <w:rsid w:val="008612DE"/>
    <w:rsid w:val="00867BAC"/>
    <w:rsid w:val="008816B7"/>
    <w:rsid w:val="008B5E2B"/>
    <w:rsid w:val="008D45A7"/>
    <w:rsid w:val="008F74D2"/>
    <w:rsid w:val="009336D9"/>
    <w:rsid w:val="00944D59"/>
    <w:rsid w:val="00947C12"/>
    <w:rsid w:val="00971433"/>
    <w:rsid w:val="009A3AC9"/>
    <w:rsid w:val="009C565E"/>
    <w:rsid w:val="009F765A"/>
    <w:rsid w:val="00A23A0A"/>
    <w:rsid w:val="00A43AA8"/>
    <w:rsid w:val="00A774F5"/>
    <w:rsid w:val="00A91C86"/>
    <w:rsid w:val="00AB276C"/>
    <w:rsid w:val="00B040F8"/>
    <w:rsid w:val="00B1205F"/>
    <w:rsid w:val="00B458E1"/>
    <w:rsid w:val="00B46D63"/>
    <w:rsid w:val="00B865F1"/>
    <w:rsid w:val="00BE1383"/>
    <w:rsid w:val="00BE1B0A"/>
    <w:rsid w:val="00C02BB0"/>
    <w:rsid w:val="00C146C7"/>
    <w:rsid w:val="00C40091"/>
    <w:rsid w:val="00C7442C"/>
    <w:rsid w:val="00C7522A"/>
    <w:rsid w:val="00CC0AEF"/>
    <w:rsid w:val="00CC5A6D"/>
    <w:rsid w:val="00D14F2E"/>
    <w:rsid w:val="00D3561A"/>
    <w:rsid w:val="00D3636D"/>
    <w:rsid w:val="00D41A68"/>
    <w:rsid w:val="00D47DDA"/>
    <w:rsid w:val="00D47FA5"/>
    <w:rsid w:val="00D71A8A"/>
    <w:rsid w:val="00D940C6"/>
    <w:rsid w:val="00DB4545"/>
    <w:rsid w:val="00DD10EF"/>
    <w:rsid w:val="00DF065B"/>
    <w:rsid w:val="00E02049"/>
    <w:rsid w:val="00E32850"/>
    <w:rsid w:val="00E47882"/>
    <w:rsid w:val="00E7049E"/>
    <w:rsid w:val="00EE7AD4"/>
    <w:rsid w:val="00F077EA"/>
    <w:rsid w:val="00F31352"/>
    <w:rsid w:val="00F33F5D"/>
    <w:rsid w:val="00F402F7"/>
    <w:rsid w:val="00F477F6"/>
    <w:rsid w:val="00F630FE"/>
    <w:rsid w:val="00F65DF5"/>
    <w:rsid w:val="00F7542D"/>
    <w:rsid w:val="00F770C4"/>
    <w:rsid w:val="00F8385E"/>
    <w:rsid w:val="00F877EF"/>
    <w:rsid w:val="00FB0766"/>
    <w:rsid w:val="00FD1BB7"/>
    <w:rsid w:val="00FE5AF5"/>
    <w:rsid w:val="00FE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B9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58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9F37-880B-4294-9C9B-7474469A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goralskaya_on</dc:creator>
  <cp:lastModifiedBy>Алевтина В. Буданова</cp:lastModifiedBy>
  <cp:revision>2</cp:revision>
  <cp:lastPrinted>2026-03-03T12:40:00Z</cp:lastPrinted>
  <dcterms:created xsi:type="dcterms:W3CDTF">2026-03-10T11:50:00Z</dcterms:created>
  <dcterms:modified xsi:type="dcterms:W3CDTF">2026-03-10T11:50:00Z</dcterms:modified>
</cp:coreProperties>
</file>